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AEE2" w14:textId="33A2E68B" w:rsidR="00053CDE" w:rsidRDefault="004708CC">
      <w:bookmarkStart w:id="0" w:name="_GoBack"/>
      <w:bookmarkEnd w:id="0"/>
      <w:r w:rsidRPr="00F8056D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248A0085" wp14:editId="7C85F0B3">
            <wp:simplePos x="0" y="0"/>
            <wp:positionH relativeFrom="column">
              <wp:posOffset>5200650</wp:posOffset>
            </wp:positionH>
            <wp:positionV relativeFrom="paragraph">
              <wp:posOffset>0</wp:posOffset>
            </wp:positionV>
            <wp:extent cx="832485" cy="1143000"/>
            <wp:effectExtent l="0" t="0" r="571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56D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5112332" wp14:editId="22FBC1D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9192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85" y="21200"/>
                <wp:lineTo x="21285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0CA47" w14:textId="39AB9709" w:rsidR="00F43134" w:rsidRDefault="0058676B" w:rsidP="004708CC">
      <w:pPr>
        <w:spacing w:after="0"/>
        <w:jc w:val="center"/>
        <w:rPr>
          <w:b/>
          <w:color w:val="2F5496" w:themeColor="accent5" w:themeShade="BF"/>
          <w:sz w:val="28"/>
        </w:rPr>
      </w:pPr>
      <w:r w:rsidRPr="00F8056D">
        <w:rPr>
          <w:b/>
          <w:color w:val="2F5496" w:themeColor="accent5" w:themeShade="BF"/>
          <w:sz w:val="28"/>
        </w:rPr>
        <w:t>EIB in Elektro Maribor</w:t>
      </w:r>
      <w:r w:rsidR="00F43134">
        <w:rPr>
          <w:b/>
          <w:color w:val="2F5496" w:themeColor="accent5" w:themeShade="BF"/>
          <w:sz w:val="28"/>
        </w:rPr>
        <w:t>:</w:t>
      </w:r>
    </w:p>
    <w:p w14:paraId="337CC5C8" w14:textId="77777777" w:rsidR="0058676B" w:rsidRPr="00F8056D" w:rsidRDefault="0058676B" w:rsidP="004708CC">
      <w:pPr>
        <w:spacing w:after="0"/>
        <w:jc w:val="center"/>
        <w:rPr>
          <w:b/>
          <w:color w:val="2F5496" w:themeColor="accent5" w:themeShade="BF"/>
          <w:sz w:val="28"/>
        </w:rPr>
      </w:pPr>
      <w:r w:rsidRPr="00F8056D">
        <w:rPr>
          <w:b/>
          <w:color w:val="2F5496" w:themeColor="accent5" w:themeShade="BF"/>
          <w:sz w:val="28"/>
        </w:rPr>
        <w:t>podpora vlaganjem v infrastrukturo trajnostnega razvoja</w:t>
      </w:r>
    </w:p>
    <w:p w14:paraId="54BC6824" w14:textId="77777777" w:rsidR="0058676B" w:rsidRDefault="0058676B"/>
    <w:p w14:paraId="5AF4144A" w14:textId="0573CCE1" w:rsidR="0058676B" w:rsidRDefault="0058676B" w:rsidP="00191E13">
      <w:pPr>
        <w:spacing w:after="120"/>
        <w:jc w:val="both"/>
      </w:pPr>
      <w:r>
        <w:t>V letu, ko družba Elektro Maribor praznuje sto let od začetka distribucije električne energije izmenične napetosti, je bila podpisana nova pogodba o sodelovanju z Evropsko investicijsko banko</w:t>
      </w:r>
      <w:r w:rsidR="00F43134">
        <w:t>, v višini 31 mio EUR,</w:t>
      </w:r>
      <w:r>
        <w:t xml:space="preserve"> za financiranje investicij v elektrodistribucijsko omrežje na območju </w:t>
      </w:r>
      <w:r w:rsidR="00F43134">
        <w:t>s</w:t>
      </w:r>
      <w:r>
        <w:t>everovzhodne Slovenije.</w:t>
      </w:r>
      <w:r w:rsidR="00F43134">
        <w:t xml:space="preserve"> Posojilo je del 81,</w:t>
      </w:r>
      <w:r w:rsidR="004708CC">
        <w:t>4</w:t>
      </w:r>
      <w:r w:rsidR="00F43134">
        <w:t xml:space="preserve"> mio EUR velike investicije v obnovo in razvoj elektrodistribucijskega omrežja</w:t>
      </w:r>
      <w:r w:rsidR="004708CC">
        <w:t xml:space="preserve"> </w:t>
      </w:r>
      <w:r w:rsidR="004708CC" w:rsidRPr="00A2641F">
        <w:t>Elektra Maribor</w:t>
      </w:r>
      <w:r w:rsidR="00987CDE">
        <w:t xml:space="preserve"> v trilet</w:t>
      </w:r>
      <w:r w:rsidR="00193ECD">
        <w:t>n</w:t>
      </w:r>
      <w:r w:rsidR="00987CDE">
        <w:t>em obdobju</w:t>
      </w:r>
      <w:r w:rsidR="00F43134">
        <w:t>.</w:t>
      </w:r>
      <w:r w:rsidR="00193ECD">
        <w:t xml:space="preserve"> </w:t>
      </w:r>
    </w:p>
    <w:p w14:paraId="60BB4FEB" w14:textId="77777777" w:rsidR="00AE5F61" w:rsidRPr="004708CC" w:rsidRDefault="00AE5F61" w:rsidP="00191E13">
      <w:pPr>
        <w:spacing w:after="120"/>
        <w:jc w:val="both"/>
        <w:rPr>
          <w:rStyle w:val="Intenzivenpoudarek"/>
        </w:rPr>
      </w:pPr>
      <w:r w:rsidRPr="004708CC">
        <w:rPr>
          <w:rStyle w:val="Intenzivenpoudarek"/>
        </w:rPr>
        <w:t xml:space="preserve">Dosedanje sodelovanje </w:t>
      </w:r>
      <w:r w:rsidRPr="00AE5F61">
        <w:rPr>
          <w:rStyle w:val="Intenzivenpoudarek"/>
        </w:rPr>
        <w:t>Evropsk</w:t>
      </w:r>
      <w:r>
        <w:rPr>
          <w:rStyle w:val="Intenzivenpoudarek"/>
        </w:rPr>
        <w:t>e</w:t>
      </w:r>
      <w:r w:rsidRPr="00AE5F61">
        <w:rPr>
          <w:rStyle w:val="Intenzivenpoudarek"/>
        </w:rPr>
        <w:t xml:space="preserve"> investicijsk</w:t>
      </w:r>
      <w:r>
        <w:rPr>
          <w:rStyle w:val="Intenzivenpoudarek"/>
        </w:rPr>
        <w:t>e</w:t>
      </w:r>
      <w:r w:rsidRPr="00AE5F61">
        <w:rPr>
          <w:rStyle w:val="Intenzivenpoudarek"/>
        </w:rPr>
        <w:t xml:space="preserve"> bank</w:t>
      </w:r>
      <w:r>
        <w:rPr>
          <w:rStyle w:val="Intenzivenpoudarek"/>
        </w:rPr>
        <w:t>e</w:t>
      </w:r>
      <w:r w:rsidRPr="004708CC">
        <w:rPr>
          <w:rStyle w:val="Intenzivenpoudarek"/>
        </w:rPr>
        <w:t xml:space="preserve"> in Elektro Maribor</w:t>
      </w:r>
    </w:p>
    <w:p w14:paraId="4F9CAD70" w14:textId="51CBD0DC" w:rsidR="00333A10" w:rsidRDefault="00333A10" w:rsidP="00191E13">
      <w:pPr>
        <w:spacing w:after="120"/>
        <w:jc w:val="both"/>
      </w:pPr>
      <w:r>
        <w:t xml:space="preserve">Družba Elektro Maribor in Evropska investicijska banka zelo uspešno sodelujeta že od leta 2015. Tudi s pomočjo sredstev EIB je </w:t>
      </w:r>
      <w:r w:rsidR="0050688F">
        <w:t xml:space="preserve">Elektro Maribor </w:t>
      </w:r>
      <w:r>
        <w:t>v tem času</w:t>
      </w:r>
      <w:r w:rsidR="0050688F">
        <w:t>:</w:t>
      </w:r>
    </w:p>
    <w:p w14:paraId="48B684D1" w14:textId="4A1A8C4D" w:rsidR="00272641" w:rsidRDefault="0050688F" w:rsidP="00191E13">
      <w:pPr>
        <w:pStyle w:val="Odstavekseznama"/>
        <w:numPr>
          <w:ilvl w:val="0"/>
          <w:numId w:val="1"/>
        </w:numPr>
        <w:spacing w:after="120"/>
        <w:jc w:val="both"/>
      </w:pPr>
      <w:r>
        <w:t>Povečal stopnjo robustnosti omrežja za 6,6 odstotnih točk</w:t>
      </w:r>
      <w:r w:rsidR="00A2641F">
        <w:t>, in sicer</w:t>
      </w:r>
      <w:r w:rsidR="00E67B27">
        <w:t xml:space="preserve"> </w:t>
      </w:r>
      <w:r>
        <w:t xml:space="preserve">na 71,5 %. </w:t>
      </w:r>
      <w:r w:rsidR="00272641">
        <w:t>Dolžina nadzemnega neizoliranega omrežja je zmanjšal za 930 km, dolžina podzemnega omrežja in nadzemnega izoliranega omrežja pa je povečal za 1.360 km</w:t>
      </w:r>
      <w:r>
        <w:t>.</w:t>
      </w:r>
    </w:p>
    <w:p w14:paraId="1D122BAE" w14:textId="77853372" w:rsidR="0050688F" w:rsidRDefault="0050688F" w:rsidP="00191E13">
      <w:pPr>
        <w:pStyle w:val="Odstavekseznama"/>
        <w:numPr>
          <w:ilvl w:val="0"/>
          <w:numId w:val="1"/>
        </w:numPr>
        <w:spacing w:after="120"/>
        <w:jc w:val="both"/>
      </w:pPr>
      <w:r>
        <w:t xml:space="preserve">Povečal je jakost omrežja, tudi z izgradnjo </w:t>
      </w:r>
      <w:r w:rsidR="00E67B27">
        <w:t>novih</w:t>
      </w:r>
      <w:r>
        <w:t xml:space="preserve"> transformatorskih postaj.</w:t>
      </w:r>
    </w:p>
    <w:p w14:paraId="5D227F50" w14:textId="265DF74E" w:rsidR="0050688F" w:rsidRDefault="0050688F" w:rsidP="00191E13">
      <w:pPr>
        <w:pStyle w:val="Odstavekseznama"/>
        <w:numPr>
          <w:ilvl w:val="0"/>
          <w:numId w:val="1"/>
        </w:numPr>
        <w:spacing w:after="120"/>
        <w:jc w:val="both"/>
      </w:pPr>
      <w:r>
        <w:t xml:space="preserve">Povečal </w:t>
      </w:r>
      <w:r w:rsidR="00A2641F">
        <w:t xml:space="preserve">je </w:t>
      </w:r>
      <w:r>
        <w:t>število mrežno integriranih obnovljivih virov energije za 118 %, in sicer iz 1.315 na 2.874. V tem času je mrežno integrira</w:t>
      </w:r>
      <w:r w:rsidR="00A2641F">
        <w:t>l</w:t>
      </w:r>
      <w:r>
        <w:t xml:space="preserve"> 23 MW malih, pretežno sončnih elektrarn. </w:t>
      </w:r>
    </w:p>
    <w:p w14:paraId="0F7AF662" w14:textId="099FCEAE" w:rsidR="008255BB" w:rsidRPr="004708CC" w:rsidRDefault="008255BB" w:rsidP="00191E13">
      <w:pPr>
        <w:pStyle w:val="Odstavekseznama"/>
        <w:numPr>
          <w:ilvl w:val="0"/>
          <w:numId w:val="1"/>
        </w:numPr>
        <w:spacing w:after="120"/>
        <w:jc w:val="both"/>
      </w:pPr>
      <w:r w:rsidRPr="004708CC">
        <w:t xml:space="preserve">Povečal </w:t>
      </w:r>
      <w:r w:rsidR="00A2641F">
        <w:t xml:space="preserve">je </w:t>
      </w:r>
      <w:r w:rsidRPr="004708CC">
        <w:t xml:space="preserve">zanesljivost visokonapetostnega omrežja z investiranjem v pomembne </w:t>
      </w:r>
      <w:r w:rsidR="00E67B27">
        <w:t xml:space="preserve">visokonapetostne </w:t>
      </w:r>
      <w:r w:rsidRPr="004708CC">
        <w:t>energetske objekte</w:t>
      </w:r>
      <w:r w:rsidR="00303EF9" w:rsidRPr="004708CC">
        <w:t>.</w:t>
      </w:r>
      <w:r w:rsidRPr="004708CC">
        <w:t xml:space="preserve"> </w:t>
      </w:r>
    </w:p>
    <w:p w14:paraId="7F4DDD61" w14:textId="5B65B184" w:rsidR="008255BB" w:rsidRDefault="00272641" w:rsidP="00191E13">
      <w:pPr>
        <w:pStyle w:val="Odstavekseznama"/>
        <w:numPr>
          <w:ilvl w:val="0"/>
          <w:numId w:val="1"/>
        </w:numPr>
        <w:spacing w:after="120"/>
        <w:jc w:val="both"/>
      </w:pPr>
      <w:r>
        <w:t xml:space="preserve">Izgube v omrežju </w:t>
      </w:r>
      <w:r w:rsidR="00A2641F">
        <w:t>je</w:t>
      </w:r>
      <w:r>
        <w:t xml:space="preserve"> znižal za več kot 7 %</w:t>
      </w:r>
      <w:r w:rsidR="0050688F">
        <w:t>.</w:t>
      </w:r>
    </w:p>
    <w:p w14:paraId="6932DBBB" w14:textId="77777777" w:rsidR="00B16526" w:rsidRDefault="00B16526" w:rsidP="00191E13">
      <w:pPr>
        <w:spacing w:after="120"/>
        <w:jc w:val="both"/>
      </w:pPr>
      <w:r>
        <w:t xml:space="preserve">V preteklih petih letih je družba realizirala 146 mio evrov investicijskih vlaganj. </w:t>
      </w:r>
      <w:r w:rsidR="00303EF9">
        <w:t xml:space="preserve">Družba je uspešno poslovala in ustvarjala čisti dobiček, ki ga je v pretežni meri namenjala za financiranje investicij v elektroenergetsko infrastrukturo. Na tak način je družba približno dve tretjini potrebnih virov za investicijska vlaganja zagotovila z lastnimi viri. Posojilo Evropske investicijske banke v višini 34 mio evrov </w:t>
      </w:r>
      <w:r>
        <w:t>je pomembno prispevalo k povečanju obsega investicij, ki so potrebne za zanesljivo in kakovostno oskrbo prebivalstva in gospodarstva z električno energijo.</w:t>
      </w:r>
    </w:p>
    <w:p w14:paraId="15865EEA" w14:textId="30B68335" w:rsidR="00AE5F61" w:rsidRDefault="00B16526" w:rsidP="00191E13">
      <w:pPr>
        <w:spacing w:after="120"/>
        <w:jc w:val="both"/>
      </w:pPr>
      <w:r>
        <w:t xml:space="preserve">Sodelovanje z Evropsko investicijsko banko predstavlja za družbo dodaten izziv tudi zaradi visokih pričakovanj glede uspešnosti poslovanja. Zaradi velikega angažmaja zaposlenih in </w:t>
      </w:r>
      <w:r w:rsidR="00303EF9">
        <w:t xml:space="preserve">zaradi </w:t>
      </w:r>
      <w:r>
        <w:t xml:space="preserve">skrbnih deležnikov družba Elektro Maribor posluje </w:t>
      </w:r>
      <w:r w:rsidR="000923CC">
        <w:t xml:space="preserve">zelo </w:t>
      </w:r>
      <w:r>
        <w:t xml:space="preserve">uspešno in </w:t>
      </w:r>
      <w:r w:rsidR="000923CC">
        <w:t xml:space="preserve">tudi v celoti izpolnjuje </w:t>
      </w:r>
      <w:r>
        <w:t>vse finančne zaveze</w:t>
      </w:r>
      <w:r w:rsidR="000923CC">
        <w:t>.</w:t>
      </w:r>
    </w:p>
    <w:p w14:paraId="5EF3E2D7" w14:textId="77777777" w:rsidR="00AE5F61" w:rsidRPr="004708CC" w:rsidRDefault="00AE5F61" w:rsidP="00191E13">
      <w:pPr>
        <w:spacing w:after="120"/>
        <w:jc w:val="both"/>
        <w:rPr>
          <w:rStyle w:val="Intenzivenpoudarek"/>
        </w:rPr>
      </w:pPr>
      <w:r w:rsidRPr="004708CC">
        <w:rPr>
          <w:rStyle w:val="Intenzivenpoudarek"/>
        </w:rPr>
        <w:t>Pomen investicij v elektrodistribucijska omrežja</w:t>
      </w:r>
    </w:p>
    <w:p w14:paraId="4D5235E9" w14:textId="77777777" w:rsidR="000923CC" w:rsidRDefault="000923CC" w:rsidP="00191E13">
      <w:pPr>
        <w:spacing w:after="120"/>
        <w:jc w:val="both"/>
      </w:pPr>
      <w:r>
        <w:t>Investicije v elektrodistribucijska omrežja so pomembne zaradi uporabnikov, prebivalstva, gospodarstva in tudi lokalnih skupnosti.  Zaradi njihovih potreb je potrebno krepiti jakost, robustnost in naprednost zlasti elektrodistribucijskih omrežij:</w:t>
      </w:r>
    </w:p>
    <w:p w14:paraId="65EB0362" w14:textId="77777777" w:rsidR="000923CC" w:rsidRDefault="000923CC" w:rsidP="00191E13">
      <w:pPr>
        <w:pStyle w:val="Odstavekseznama"/>
        <w:numPr>
          <w:ilvl w:val="0"/>
          <w:numId w:val="2"/>
        </w:numPr>
        <w:spacing w:after="120"/>
        <w:jc w:val="both"/>
      </w:pPr>
      <w:r>
        <w:t xml:space="preserve">Uporabniki ves čas priključujejo nove naprave in vire (toplotne črpalke, klimatske naprave, male elektrarne, indukcijske plošče in tudi že električna vozila), zato je potrebno omrežje ves čas krepiti (samo v letu 2019 se je priključna moč merilnih mest uporabnikov povečala za 25 MW). </w:t>
      </w:r>
    </w:p>
    <w:p w14:paraId="03EDBB58" w14:textId="77777777" w:rsidR="000923CC" w:rsidRDefault="000923CC" w:rsidP="00191E13">
      <w:pPr>
        <w:pStyle w:val="Odstavekseznama"/>
        <w:numPr>
          <w:ilvl w:val="0"/>
          <w:numId w:val="2"/>
        </w:numPr>
        <w:spacing w:after="120"/>
        <w:jc w:val="both"/>
      </w:pPr>
      <w:r>
        <w:lastRenderedPageBreak/>
        <w:t>Zaradi vedno pogostejših vremenskih uj</w:t>
      </w:r>
      <w:r w:rsidR="00303EF9">
        <w:t>m (na primer žledolom leta 2014,</w:t>
      </w:r>
      <w:r>
        <w:t xml:space="preserve"> vetrolom v letih 2018 in 2019, vremenska fronta v februarju 2020) je potrebno povečevati robustnost omrežja, predvsem s kabliranjem nizko- in srednjenapetostnih vodov. </w:t>
      </w:r>
    </w:p>
    <w:p w14:paraId="5238D24B" w14:textId="77777777" w:rsidR="000923CC" w:rsidRDefault="000923CC" w:rsidP="00191E13">
      <w:pPr>
        <w:pStyle w:val="Odstavekseznama"/>
        <w:numPr>
          <w:ilvl w:val="0"/>
          <w:numId w:val="2"/>
        </w:numPr>
        <w:spacing w:after="120"/>
        <w:jc w:val="both"/>
      </w:pPr>
      <w:r>
        <w:t xml:space="preserve">Lokalne skupnosti gradijo poslovne cone, za katere je potrebno pogosto napeljevati nove vode in postavljati transformatorske postaje, da bi omogočali razvoj gospodarstva in odpiranje novih delovnih mest. </w:t>
      </w:r>
    </w:p>
    <w:p w14:paraId="68E87158" w14:textId="77777777" w:rsidR="000923CC" w:rsidRDefault="000923CC" w:rsidP="00191E13">
      <w:pPr>
        <w:pStyle w:val="Odstavekseznama"/>
        <w:numPr>
          <w:ilvl w:val="0"/>
          <w:numId w:val="2"/>
        </w:numPr>
        <w:spacing w:after="120"/>
        <w:jc w:val="both"/>
      </w:pPr>
      <w:r>
        <w:t>Zaradi vedno večjega števila malih elektrarn (v letu 2019 se je njihovo število povečalo za 42 %) in potrebe po zagotavljanju novih storitev je potrebno vgrajevati elemente naprednih omrežij, s katerimi bo omogočeno prilagajanje odjema in proizvodnje.</w:t>
      </w:r>
    </w:p>
    <w:p w14:paraId="38511E9A" w14:textId="77777777" w:rsidR="00AE5F61" w:rsidRDefault="00AE5F61" w:rsidP="00191E13">
      <w:pPr>
        <w:spacing w:after="120"/>
        <w:jc w:val="both"/>
      </w:pPr>
      <w:r>
        <w:t>Investicije v elektroenergetska omrežja so pomembne tudi zaradi multiplikativnih učinkov. Večina držav v ospredje izhodnih postepidemijskih strategij postavlja prav spodbujanje investicij v elektroenergetiko zaradi vsaj dveh razlogov:</w:t>
      </w:r>
    </w:p>
    <w:p w14:paraId="1B0FC76C" w14:textId="77777777" w:rsidR="00AE5F61" w:rsidRDefault="00AE5F61" w:rsidP="00191E13">
      <w:pPr>
        <w:pStyle w:val="Odstavekseznama"/>
        <w:numPr>
          <w:ilvl w:val="0"/>
          <w:numId w:val="3"/>
        </w:numPr>
        <w:spacing w:after="120"/>
        <w:jc w:val="both"/>
      </w:pPr>
      <w:r>
        <w:t>Prebivalstvu omogočajo primerno življenjsko raven, gospodarstvu omogočajo razvoj in s tem omogočajo odpiranje delovnih mest.</w:t>
      </w:r>
    </w:p>
    <w:p w14:paraId="47624D08" w14:textId="77777777" w:rsidR="00AE5F61" w:rsidRDefault="00AE5F61" w:rsidP="00191E13">
      <w:pPr>
        <w:pStyle w:val="Odstavekseznama"/>
        <w:numPr>
          <w:ilvl w:val="0"/>
          <w:numId w:val="3"/>
        </w:numPr>
        <w:spacing w:after="120"/>
        <w:jc w:val="both"/>
      </w:pPr>
      <w:r>
        <w:t>Ker bodo vsa električna vozila, toplotne črpalke, klimatske naprave in male elektrarne priključene na elektrodistribucijska omrežja, je od njihove jakosti, robustnosti in naprednosti odvisna tudi realizacija trajnostnih strategij.</w:t>
      </w:r>
      <w:r w:rsidRPr="000923CC">
        <w:t xml:space="preserve"> </w:t>
      </w:r>
    </w:p>
    <w:p w14:paraId="2131FABC" w14:textId="77777777" w:rsidR="00AE5F61" w:rsidRPr="004708CC" w:rsidRDefault="00AE5F61" w:rsidP="00191E13">
      <w:pPr>
        <w:spacing w:after="120"/>
        <w:jc w:val="both"/>
        <w:rPr>
          <w:rStyle w:val="Intenzivenpoudarek"/>
        </w:rPr>
      </w:pPr>
      <w:r w:rsidRPr="004708CC">
        <w:rPr>
          <w:rStyle w:val="Intenzivenpoudarek"/>
        </w:rPr>
        <w:t>Prihodnje sodelovanje Evropske investicijske banke in Elektro Maribor</w:t>
      </w:r>
    </w:p>
    <w:p w14:paraId="066B44EA" w14:textId="308059F4" w:rsidR="00AE5F61" w:rsidRDefault="00AE5F61" w:rsidP="00191E13">
      <w:pPr>
        <w:spacing w:after="120"/>
        <w:jc w:val="both"/>
      </w:pPr>
      <w:r>
        <w:t>N</w:t>
      </w:r>
      <w:r w:rsidRPr="00AE5F61">
        <w:t>ova pogodba o sodelovanju z Evropsko investicijsko banko, v višini 31 mio EUR</w:t>
      </w:r>
      <w:r>
        <w:t xml:space="preserve"> ima za cilj </w:t>
      </w:r>
      <w:r w:rsidRPr="00AE5F61">
        <w:t xml:space="preserve">financiranje investicij v elektrodistribucijsko omrežje na </w:t>
      </w:r>
      <w:r>
        <w:t xml:space="preserve">oskrbnem območju družbe Elektro Maribor, kjer živi skoraj četrtina prebivalstva </w:t>
      </w:r>
      <w:r w:rsidR="00193ECD">
        <w:t xml:space="preserve">Republike Slovenije. </w:t>
      </w:r>
      <w:r>
        <w:t xml:space="preserve">Družba Elektro Maribor načrtuje, da z lastnimi sredstvi, </w:t>
      </w:r>
      <w:r w:rsidR="00E67B27">
        <w:t xml:space="preserve">sredstvi Evropske unije in </w:t>
      </w:r>
      <w:r>
        <w:t>tudi s pomočjo Evropske investicijsk</w:t>
      </w:r>
      <w:r w:rsidR="00E67B27">
        <w:t>e</w:t>
      </w:r>
      <w:r>
        <w:t xml:space="preserve"> bank</w:t>
      </w:r>
      <w:r w:rsidR="00E67B27">
        <w:t>e v prihodnjih letih:</w:t>
      </w:r>
    </w:p>
    <w:p w14:paraId="0451CF16" w14:textId="77777777" w:rsidR="009E5844" w:rsidRPr="00076F76" w:rsidRDefault="009E5844" w:rsidP="009E5844">
      <w:pPr>
        <w:pStyle w:val="Odstavekseznama"/>
        <w:numPr>
          <w:ilvl w:val="0"/>
          <w:numId w:val="1"/>
        </w:numPr>
        <w:spacing w:after="120"/>
        <w:jc w:val="both"/>
      </w:pPr>
      <w:r>
        <w:t xml:space="preserve">Poveča zanesljivost celotnega elektro energetskega sistema z investiranjem v pomembne nizko- srednje- in visokonapetostne objekte. </w:t>
      </w:r>
    </w:p>
    <w:p w14:paraId="5C3F8286" w14:textId="0A33E5CB" w:rsidR="00AE5F61" w:rsidRDefault="00AE5F61" w:rsidP="00191E13">
      <w:pPr>
        <w:pStyle w:val="Odstavekseznama"/>
        <w:numPr>
          <w:ilvl w:val="0"/>
          <w:numId w:val="1"/>
        </w:numPr>
        <w:spacing w:after="120"/>
        <w:jc w:val="both"/>
      </w:pPr>
      <w:r>
        <w:t>Poveča stopnjo robustnosti omrežja. Dolžin</w:t>
      </w:r>
      <w:r w:rsidR="00A2641F">
        <w:t>o</w:t>
      </w:r>
      <w:r>
        <w:t xml:space="preserve"> nadzemnega neizoliranega </w:t>
      </w:r>
      <w:r w:rsidR="00E67B27">
        <w:t xml:space="preserve">srednje- in nizkonapetostnega </w:t>
      </w:r>
      <w:r>
        <w:t xml:space="preserve">omrežja </w:t>
      </w:r>
      <w:r w:rsidR="00E67B27">
        <w:t>bo</w:t>
      </w:r>
      <w:r w:rsidR="00AB4912">
        <w:t xml:space="preserve"> v naslednjih treh letih</w:t>
      </w:r>
      <w:r w:rsidR="00E67B27">
        <w:t xml:space="preserve"> </w:t>
      </w:r>
      <w:r>
        <w:t xml:space="preserve">zmanjšala za </w:t>
      </w:r>
      <w:r w:rsidR="00AB4912">
        <w:t>ca. 430</w:t>
      </w:r>
      <w:r w:rsidR="004708CC">
        <w:t xml:space="preserve"> </w:t>
      </w:r>
      <w:r>
        <w:t>km, dolžin</w:t>
      </w:r>
      <w:r w:rsidR="00A2641F">
        <w:t>o</w:t>
      </w:r>
      <w:r>
        <w:t xml:space="preserve"> podzemnega omrežja in nadzemnega izoliranega </w:t>
      </w:r>
      <w:r w:rsidR="00E67B27" w:rsidRPr="00E67B27">
        <w:t xml:space="preserve">srednje- in nizkonapetostnega omrežja </w:t>
      </w:r>
      <w:r>
        <w:t xml:space="preserve">pa </w:t>
      </w:r>
      <w:r w:rsidR="00E67B27">
        <w:t xml:space="preserve">bo </w:t>
      </w:r>
      <w:r>
        <w:t xml:space="preserve">povečala za </w:t>
      </w:r>
      <w:r w:rsidR="00AB4912">
        <w:t>ca. 860</w:t>
      </w:r>
      <w:r>
        <w:t xml:space="preserve"> km.</w:t>
      </w:r>
    </w:p>
    <w:p w14:paraId="0B7F2D65" w14:textId="74E4BF9F" w:rsidR="00AE5F61" w:rsidRDefault="00AE5F61" w:rsidP="00191E13">
      <w:pPr>
        <w:pStyle w:val="Odstavekseznama"/>
        <w:numPr>
          <w:ilvl w:val="0"/>
          <w:numId w:val="1"/>
        </w:numPr>
        <w:spacing w:after="120"/>
        <w:jc w:val="both"/>
      </w:pPr>
      <w:r>
        <w:t xml:space="preserve">Poveča jakost omrežja, tudi z izgradnjo </w:t>
      </w:r>
      <w:r w:rsidR="00E67B27">
        <w:t>novih</w:t>
      </w:r>
      <w:r>
        <w:t xml:space="preserve"> transformatorskih postaj.</w:t>
      </w:r>
    </w:p>
    <w:p w14:paraId="2F6301F9" w14:textId="0547A5A7" w:rsidR="009E5844" w:rsidRPr="00786083" w:rsidRDefault="009E5844" w:rsidP="009E5844">
      <w:pPr>
        <w:pStyle w:val="Odstavekseznama"/>
        <w:numPr>
          <w:ilvl w:val="0"/>
          <w:numId w:val="1"/>
        </w:numPr>
        <w:spacing w:after="120"/>
        <w:jc w:val="both"/>
      </w:pPr>
      <w:r>
        <w:t xml:space="preserve">Nadaljuje z izgradnjo naprednega merilnega sistema. </w:t>
      </w:r>
      <w:r>
        <w:rPr>
          <w:rFonts w:cstheme="minorHAnsi"/>
          <w:bCs/>
        </w:rPr>
        <w:t xml:space="preserve">Do konca leta 2020 bo v napredni merilni sistem vključenih vsaj 90 % vseh merilnih mest. </w:t>
      </w:r>
    </w:p>
    <w:p w14:paraId="28FD1F95" w14:textId="06983DDC" w:rsidR="00AE5F61" w:rsidRDefault="00AE5F61" w:rsidP="00191E13">
      <w:pPr>
        <w:pStyle w:val="Odstavekseznama"/>
        <w:numPr>
          <w:ilvl w:val="0"/>
          <w:numId w:val="1"/>
        </w:numPr>
        <w:spacing w:after="120"/>
        <w:jc w:val="both"/>
      </w:pPr>
      <w:r>
        <w:t>Poveča</w:t>
      </w:r>
      <w:r w:rsidR="00A2641F">
        <w:t xml:space="preserve"> </w:t>
      </w:r>
      <w:r>
        <w:t>število mrežno integriranih obnovljivih virov energije</w:t>
      </w:r>
      <w:r w:rsidR="00E67B27">
        <w:t xml:space="preserve"> v skladu s sprejetimi cilji podpore distribuirani proizvodnji električne energije.</w:t>
      </w:r>
      <w:r>
        <w:t xml:space="preserve"> </w:t>
      </w:r>
    </w:p>
    <w:p w14:paraId="6E650D36" w14:textId="574B34D1" w:rsidR="00B304B5" w:rsidRDefault="00E67B27" w:rsidP="00191E13">
      <w:pPr>
        <w:pStyle w:val="Odstavekseznama"/>
        <w:numPr>
          <w:ilvl w:val="0"/>
          <w:numId w:val="1"/>
        </w:numPr>
        <w:spacing w:after="120"/>
        <w:jc w:val="both"/>
      </w:pPr>
      <w:r>
        <w:t>Nadaljnje zmanjšuje izgube v omrežju in izboljšuje faktorje kakovosti oskrbe z električno energijo</w:t>
      </w:r>
      <w:r w:rsidR="00AE5F61">
        <w:t>.</w:t>
      </w:r>
      <w:r w:rsidR="00B304B5">
        <w:t xml:space="preserve"> </w:t>
      </w:r>
    </w:p>
    <w:p w14:paraId="5F504B60" w14:textId="2CE1902B" w:rsidR="00AE5F61" w:rsidRDefault="00AE5F61" w:rsidP="00191E13">
      <w:pPr>
        <w:pStyle w:val="Odstavekseznama"/>
        <w:spacing w:after="120"/>
        <w:jc w:val="both"/>
      </w:pPr>
    </w:p>
    <w:p w14:paraId="5406D0ED" w14:textId="3E9C6767" w:rsidR="000923CC" w:rsidRDefault="000923CC" w:rsidP="00191E13">
      <w:pPr>
        <w:spacing w:after="120"/>
        <w:jc w:val="both"/>
      </w:pPr>
      <w:r>
        <w:t>Sodelovanje</w:t>
      </w:r>
      <w:r w:rsidR="00303EF9">
        <w:t xml:space="preserve"> družbe</w:t>
      </w:r>
      <w:r>
        <w:t xml:space="preserve"> Elektro Maribor in Evropske investicijske banke tudi v prihodnje predstavlja pomemben prispevek k trajnostnem načinu življenja, spodbujanju razvoja gospodarstva in energetski tranziciji. Bolj robustna, močna in napredna elektrodistribucijska omrežja so pomemben predpogoj za uspešnost prehoda v nizkoogljično družbo. </w:t>
      </w:r>
      <w:r w:rsidR="002D751C">
        <w:t>V postepidemijskem obdobju so investicije v elektrodistribucijska omrežja tudi pomemben spodbujevalec ponovnega gospodarskega razvoja in s tem relevanten del izhodnih razvojnih strategij.</w:t>
      </w:r>
    </w:p>
    <w:sectPr w:rsidR="000923CC" w:rsidSect="004708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57ECE" w14:textId="77777777" w:rsidR="00DF1281" w:rsidRDefault="00DF1281" w:rsidP="00F8056D">
      <w:pPr>
        <w:spacing w:after="0" w:line="240" w:lineRule="auto"/>
      </w:pPr>
      <w:r>
        <w:separator/>
      </w:r>
    </w:p>
  </w:endnote>
  <w:endnote w:type="continuationSeparator" w:id="0">
    <w:p w14:paraId="29E2678D" w14:textId="77777777" w:rsidR="00DF1281" w:rsidRDefault="00DF1281" w:rsidP="00F8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35ADD" w14:textId="77777777" w:rsidR="00DF1281" w:rsidRDefault="00DF1281" w:rsidP="00F8056D">
      <w:pPr>
        <w:spacing w:after="0" w:line="240" w:lineRule="auto"/>
      </w:pPr>
      <w:r>
        <w:separator/>
      </w:r>
    </w:p>
  </w:footnote>
  <w:footnote w:type="continuationSeparator" w:id="0">
    <w:p w14:paraId="3C682F89" w14:textId="77777777" w:rsidR="00DF1281" w:rsidRDefault="00DF1281" w:rsidP="00F80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A5F"/>
    <w:multiLevelType w:val="hybridMultilevel"/>
    <w:tmpl w:val="7C0417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7C68"/>
    <w:multiLevelType w:val="hybridMultilevel"/>
    <w:tmpl w:val="0E648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51DD6"/>
    <w:multiLevelType w:val="hybridMultilevel"/>
    <w:tmpl w:val="7D78E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36AC3"/>
    <w:multiLevelType w:val="hybridMultilevel"/>
    <w:tmpl w:val="99EEC22E"/>
    <w:lvl w:ilvl="0" w:tplc="25F0EC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6B"/>
    <w:rsid w:val="00027C37"/>
    <w:rsid w:val="000446E3"/>
    <w:rsid w:val="00053CDE"/>
    <w:rsid w:val="000923CC"/>
    <w:rsid w:val="00191E13"/>
    <w:rsid w:val="00193ECD"/>
    <w:rsid w:val="00272641"/>
    <w:rsid w:val="002D751C"/>
    <w:rsid w:val="00303EF9"/>
    <w:rsid w:val="00333A10"/>
    <w:rsid w:val="00406DDE"/>
    <w:rsid w:val="00446B0E"/>
    <w:rsid w:val="004708CC"/>
    <w:rsid w:val="004F22AC"/>
    <w:rsid w:val="0050688F"/>
    <w:rsid w:val="0058676B"/>
    <w:rsid w:val="00611B3D"/>
    <w:rsid w:val="00660394"/>
    <w:rsid w:val="007B3A6C"/>
    <w:rsid w:val="007F5670"/>
    <w:rsid w:val="00822420"/>
    <w:rsid w:val="008255BB"/>
    <w:rsid w:val="00856353"/>
    <w:rsid w:val="008667BD"/>
    <w:rsid w:val="00872565"/>
    <w:rsid w:val="00954C7A"/>
    <w:rsid w:val="009808A6"/>
    <w:rsid w:val="00987CDE"/>
    <w:rsid w:val="009E5844"/>
    <w:rsid w:val="00A2641F"/>
    <w:rsid w:val="00A6668A"/>
    <w:rsid w:val="00AB4912"/>
    <w:rsid w:val="00AE5F61"/>
    <w:rsid w:val="00B11D2F"/>
    <w:rsid w:val="00B16526"/>
    <w:rsid w:val="00B304B5"/>
    <w:rsid w:val="00B63A44"/>
    <w:rsid w:val="00BB7F4E"/>
    <w:rsid w:val="00BD2B0E"/>
    <w:rsid w:val="00C20823"/>
    <w:rsid w:val="00DC4B34"/>
    <w:rsid w:val="00DF1281"/>
    <w:rsid w:val="00E441D5"/>
    <w:rsid w:val="00E67B27"/>
    <w:rsid w:val="00F20449"/>
    <w:rsid w:val="00F43134"/>
    <w:rsid w:val="00F8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47661"/>
  <w15:chartTrackingRefBased/>
  <w15:docId w15:val="{BCEA1819-5998-4E8D-A5D1-0DB18005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688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11D2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11D2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11D2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11D2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11D2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D2F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30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8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056D"/>
  </w:style>
  <w:style w:type="paragraph" w:styleId="Noga">
    <w:name w:val="footer"/>
    <w:basedOn w:val="Navaden"/>
    <w:link w:val="NogaZnak"/>
    <w:uiPriority w:val="99"/>
    <w:unhideWhenUsed/>
    <w:rsid w:val="00F8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056D"/>
  </w:style>
  <w:style w:type="character" w:styleId="Intenzivenpoudarek">
    <w:name w:val="Intense Emphasis"/>
    <w:basedOn w:val="Privzetapisavaodstavka"/>
    <w:uiPriority w:val="21"/>
    <w:qFormat/>
    <w:rsid w:val="00AE5F61"/>
    <w:rPr>
      <w:i/>
      <w:iCs/>
      <w:color w:val="5B9BD5" w:themeColor="accent1"/>
    </w:rPr>
  </w:style>
  <w:style w:type="paragraph" w:styleId="Revizija">
    <w:name w:val="Revision"/>
    <w:hidden/>
    <w:uiPriority w:val="99"/>
    <w:semiHidden/>
    <w:rsid w:val="00987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 d.d.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 Boris</dc:creator>
  <cp:keywords/>
  <dc:description/>
  <cp:lastModifiedBy>Zagomilšek Cizelj Karin</cp:lastModifiedBy>
  <cp:revision>2</cp:revision>
  <dcterms:created xsi:type="dcterms:W3CDTF">2020-05-26T08:55:00Z</dcterms:created>
  <dcterms:modified xsi:type="dcterms:W3CDTF">2020-05-26T08:55:00Z</dcterms:modified>
</cp:coreProperties>
</file>