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3E" w:rsidRPr="00653C3E" w:rsidRDefault="00653C3E" w:rsidP="00551EA7">
      <w:pPr>
        <w:spacing w:after="0" w:line="240" w:lineRule="auto"/>
        <w:jc w:val="center"/>
        <w:rPr>
          <w:b/>
          <w:sz w:val="28"/>
        </w:rPr>
      </w:pPr>
      <w:r w:rsidRPr="00740EAD">
        <w:rPr>
          <w:b/>
          <w:color w:val="0070C0"/>
          <w:sz w:val="28"/>
        </w:rPr>
        <w:t>OSKRBA Z ELEKTRIČNO ENERGIJO</w:t>
      </w:r>
    </w:p>
    <w:p w:rsidR="003126CE" w:rsidRPr="00740EAD" w:rsidRDefault="003126CE" w:rsidP="00551EA7">
      <w:pPr>
        <w:spacing w:after="0" w:line="240" w:lineRule="auto"/>
        <w:jc w:val="center"/>
        <w:rPr>
          <w:b/>
          <w:sz w:val="24"/>
        </w:rPr>
      </w:pPr>
    </w:p>
    <w:p w:rsidR="00BD3DF7" w:rsidRPr="009E1D31" w:rsidRDefault="00BD3DF7" w:rsidP="00BD3DF7">
      <w:pPr>
        <w:tabs>
          <w:tab w:val="left" w:pos="2685"/>
          <w:tab w:val="center" w:pos="4536"/>
        </w:tabs>
        <w:spacing w:after="0" w:line="240" w:lineRule="auto"/>
        <w:jc w:val="center"/>
        <w:rPr>
          <w:b/>
          <w:color w:val="0070C0"/>
          <w:sz w:val="24"/>
        </w:rPr>
      </w:pPr>
      <w:r w:rsidRPr="009E1D31">
        <w:rPr>
          <w:b/>
          <w:color w:val="0070C0"/>
          <w:sz w:val="24"/>
        </w:rPr>
        <w:t xml:space="preserve">Območna enota </w:t>
      </w:r>
      <w:r>
        <w:rPr>
          <w:b/>
          <w:color w:val="0070C0"/>
          <w:sz w:val="24"/>
        </w:rPr>
        <w:t>Gornja Radgona</w:t>
      </w:r>
      <w:r w:rsidR="00DD6DF9">
        <w:rPr>
          <w:b/>
          <w:color w:val="0070C0"/>
          <w:sz w:val="24"/>
        </w:rPr>
        <w:t xml:space="preserve"> v letu 2017</w:t>
      </w:r>
      <w:r w:rsidRPr="009E1D31">
        <w:rPr>
          <w:b/>
          <w:color w:val="0070C0"/>
          <w:sz w:val="24"/>
        </w:rPr>
        <w:t>:</w:t>
      </w:r>
    </w:p>
    <w:p w:rsidR="00BD3DF7" w:rsidRPr="009E1D31" w:rsidRDefault="00EB038C" w:rsidP="00BD3DF7">
      <w:pPr>
        <w:spacing w:after="0" w:line="240" w:lineRule="auto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rekorden odjem in večja obračunska moč</w:t>
      </w:r>
    </w:p>
    <w:p w:rsidR="00126BDB" w:rsidRDefault="00126BDB" w:rsidP="00551EA7">
      <w:pPr>
        <w:spacing w:after="0" w:line="240" w:lineRule="auto"/>
        <w:jc w:val="both"/>
      </w:pPr>
    </w:p>
    <w:p w:rsidR="00BD3DF7" w:rsidRDefault="00BD3DF7" w:rsidP="00551EA7">
      <w:pPr>
        <w:spacing w:after="0" w:line="240" w:lineRule="auto"/>
        <w:jc w:val="both"/>
      </w:pPr>
    </w:p>
    <w:p w:rsidR="00821298" w:rsidRPr="0048636C" w:rsidRDefault="004E697C" w:rsidP="00821298">
      <w:pPr>
        <w:spacing w:after="0" w:line="240" w:lineRule="auto"/>
        <w:jc w:val="both"/>
        <w:rPr>
          <w:b/>
        </w:rPr>
      </w:pPr>
      <w:r w:rsidRPr="0048636C">
        <w:rPr>
          <w:b/>
        </w:rPr>
        <w:t>Družb</w:t>
      </w:r>
      <w:r w:rsidR="00CF046E">
        <w:rPr>
          <w:b/>
        </w:rPr>
        <w:t>a Elektro Maribor je v letu 2017</w:t>
      </w:r>
      <w:r w:rsidRPr="0048636C">
        <w:rPr>
          <w:b/>
        </w:rPr>
        <w:t xml:space="preserve"> distribuirala </w:t>
      </w:r>
      <w:r w:rsidR="00CB37C4">
        <w:rPr>
          <w:b/>
          <w:bCs/>
        </w:rPr>
        <w:t>2.265</w:t>
      </w:r>
      <w:r w:rsidRPr="0048636C">
        <w:rPr>
          <w:b/>
          <w:bCs/>
        </w:rPr>
        <w:t xml:space="preserve"> GWh električne energije</w:t>
      </w:r>
      <w:r w:rsidRPr="0048636C">
        <w:rPr>
          <w:b/>
        </w:rPr>
        <w:t xml:space="preserve">, kar je za </w:t>
      </w:r>
      <w:r w:rsidR="00CB37C4">
        <w:rPr>
          <w:b/>
          <w:bCs/>
        </w:rPr>
        <w:t>2,6 % več kot v letu 2016</w:t>
      </w:r>
      <w:r w:rsidRPr="0048636C">
        <w:rPr>
          <w:b/>
        </w:rPr>
        <w:t xml:space="preserve">. </w:t>
      </w:r>
      <w:r w:rsidR="0053352F" w:rsidRPr="0048636C">
        <w:rPr>
          <w:b/>
        </w:rPr>
        <w:t>N</w:t>
      </w:r>
      <w:r w:rsidR="00740EAD" w:rsidRPr="0048636C">
        <w:rPr>
          <w:b/>
        </w:rPr>
        <w:t>a področju Območne enote Go</w:t>
      </w:r>
      <w:r w:rsidR="00CC4212" w:rsidRPr="0048636C">
        <w:rPr>
          <w:b/>
        </w:rPr>
        <w:t xml:space="preserve">rnja Radgona </w:t>
      </w:r>
      <w:r w:rsidR="0053352F" w:rsidRPr="0048636C">
        <w:rPr>
          <w:b/>
        </w:rPr>
        <w:t xml:space="preserve">pa </w:t>
      </w:r>
      <w:r w:rsidR="00CB37C4">
        <w:rPr>
          <w:b/>
        </w:rPr>
        <w:t>je bilo v letu 2017</w:t>
      </w:r>
      <w:r w:rsidR="00CC4212" w:rsidRPr="0048636C">
        <w:rPr>
          <w:b/>
        </w:rPr>
        <w:t xml:space="preserve"> distribuirane </w:t>
      </w:r>
      <w:r w:rsidR="004A5810">
        <w:rPr>
          <w:b/>
        </w:rPr>
        <w:t xml:space="preserve">kar </w:t>
      </w:r>
      <w:r w:rsidR="00CB37C4">
        <w:rPr>
          <w:b/>
        </w:rPr>
        <w:t>3,6</w:t>
      </w:r>
      <w:r w:rsidR="00BD3DF7" w:rsidRPr="0048636C">
        <w:rPr>
          <w:b/>
        </w:rPr>
        <w:t xml:space="preserve"> % </w:t>
      </w:r>
      <w:r w:rsidR="00CC4212" w:rsidRPr="0048636C">
        <w:rPr>
          <w:b/>
        </w:rPr>
        <w:t>več</w:t>
      </w:r>
      <w:r w:rsidR="00740EAD" w:rsidRPr="0048636C">
        <w:rPr>
          <w:b/>
        </w:rPr>
        <w:t xml:space="preserve"> ele</w:t>
      </w:r>
      <w:r w:rsidR="00CC4212" w:rsidRPr="0048636C">
        <w:rPr>
          <w:b/>
        </w:rPr>
        <w:t>ktrične ene</w:t>
      </w:r>
      <w:r w:rsidRPr="0048636C">
        <w:rPr>
          <w:b/>
        </w:rPr>
        <w:t>rgije kot v letu</w:t>
      </w:r>
      <w:r w:rsidR="00CB37C4">
        <w:rPr>
          <w:b/>
        </w:rPr>
        <w:t xml:space="preserve"> 2016, kar je največ</w:t>
      </w:r>
      <w:r w:rsidR="00F4257F">
        <w:rPr>
          <w:b/>
        </w:rPr>
        <w:t>ji porast</w:t>
      </w:r>
      <w:r w:rsidR="00CB37C4">
        <w:rPr>
          <w:b/>
        </w:rPr>
        <w:t xml:space="preserve"> med vsemi območnimi enotami.</w:t>
      </w:r>
      <w:r w:rsidR="004A5810">
        <w:rPr>
          <w:b/>
        </w:rPr>
        <w:t xml:space="preserve"> </w:t>
      </w:r>
      <w:r w:rsidR="0036262A" w:rsidRPr="009F7124">
        <w:rPr>
          <w:b/>
        </w:rPr>
        <w:t>Dosežena je bila rekordna vrednost odjema.</w:t>
      </w:r>
    </w:p>
    <w:p w:rsidR="00821298" w:rsidRPr="00247832" w:rsidRDefault="00821298" w:rsidP="00551EA7">
      <w:pPr>
        <w:spacing w:after="0" w:line="240" w:lineRule="auto"/>
        <w:jc w:val="both"/>
        <w:rPr>
          <w:highlight w:val="yellow"/>
        </w:rPr>
      </w:pPr>
    </w:p>
    <w:p w:rsidR="00A40D70" w:rsidRPr="00247832" w:rsidRDefault="00A40D70" w:rsidP="00551EA7">
      <w:pPr>
        <w:spacing w:after="0" w:line="240" w:lineRule="auto"/>
        <w:jc w:val="both"/>
        <w:rPr>
          <w:highlight w:val="yellow"/>
        </w:rPr>
      </w:pPr>
    </w:p>
    <w:p w:rsidR="00A40D70" w:rsidRPr="00CC4212" w:rsidRDefault="00A40D70" w:rsidP="00551EA7">
      <w:pPr>
        <w:spacing w:after="0" w:line="240" w:lineRule="auto"/>
        <w:jc w:val="center"/>
      </w:pPr>
      <w:r w:rsidRPr="00CC4212">
        <w:rPr>
          <w:b/>
          <w:color w:val="0070C0"/>
        </w:rPr>
        <w:t>Območna enota Gornja Radgona</w:t>
      </w:r>
    </w:p>
    <w:p w:rsidR="00A40D70" w:rsidRPr="00CC4212" w:rsidRDefault="00A40D70" w:rsidP="00551EA7">
      <w:pPr>
        <w:spacing w:after="0" w:line="240" w:lineRule="auto"/>
        <w:jc w:val="both"/>
      </w:pPr>
    </w:p>
    <w:p w:rsidR="00586248" w:rsidRDefault="00A40D70" w:rsidP="00551EA7">
      <w:pPr>
        <w:spacing w:after="0" w:line="240" w:lineRule="auto"/>
        <w:jc w:val="both"/>
      </w:pPr>
      <w:r w:rsidRPr="00CC4212">
        <w:t>Obmo</w:t>
      </w:r>
      <w:r w:rsidRPr="00CC4212">
        <w:rPr>
          <w:rFonts w:ascii="Calibri" w:hAnsi="Calibri" w:cs="Calibri"/>
        </w:rPr>
        <w:t>č</w:t>
      </w:r>
      <w:r w:rsidRPr="00CC4212">
        <w:t>na enota Gornja Radgona pokriva obmo</w:t>
      </w:r>
      <w:r w:rsidRPr="00CC4212">
        <w:rPr>
          <w:rFonts w:ascii="Calibri" w:hAnsi="Calibri" w:cs="Calibri"/>
        </w:rPr>
        <w:t>č</w:t>
      </w:r>
      <w:r w:rsidRPr="00CC4212">
        <w:t>je 13 ob</w:t>
      </w:r>
      <w:r w:rsidRPr="00CC4212">
        <w:rPr>
          <w:rFonts w:ascii="Calibri" w:hAnsi="Calibri" w:cs="Calibri"/>
        </w:rPr>
        <w:t>č</w:t>
      </w:r>
      <w:r w:rsidRPr="00CC4212">
        <w:t>in na 460 km</w:t>
      </w:r>
      <w:r w:rsidRPr="00CC4212">
        <w:rPr>
          <w:vertAlign w:val="superscript"/>
        </w:rPr>
        <w:t>2</w:t>
      </w:r>
      <w:r w:rsidRPr="00CC4212">
        <w:t xml:space="preserve"> </w:t>
      </w:r>
      <w:r w:rsidRPr="006D73C8">
        <w:t>velikem področju.</w:t>
      </w:r>
      <w:r w:rsidR="00E8465A" w:rsidRPr="006D73C8">
        <w:t xml:space="preserve"> Oskrbuje</w:t>
      </w:r>
      <w:r w:rsidR="006D73C8" w:rsidRPr="006D73C8">
        <w:t xml:space="preserve"> </w:t>
      </w:r>
      <w:r w:rsidR="00991023">
        <w:t>19.240</w:t>
      </w:r>
      <w:r w:rsidR="00E8465A" w:rsidRPr="006D73C8">
        <w:t xml:space="preserve"> </w:t>
      </w:r>
      <w:r w:rsidR="00107A14">
        <w:t>uporabnikov</w:t>
      </w:r>
      <w:r w:rsidR="00E8465A" w:rsidRPr="006D73C8">
        <w:t xml:space="preserve">, kar predstavlja 9 % vseh </w:t>
      </w:r>
      <w:r w:rsidR="00107A14">
        <w:t>uporabnikov</w:t>
      </w:r>
      <w:r w:rsidR="00E8465A" w:rsidRPr="006D73C8">
        <w:t xml:space="preserve"> </w:t>
      </w:r>
      <w:r w:rsidR="001511DE">
        <w:t xml:space="preserve">družbe </w:t>
      </w:r>
      <w:r w:rsidR="00E8465A" w:rsidRPr="006D73C8">
        <w:t>Elektro Maribor</w:t>
      </w:r>
      <w:r w:rsidR="00371AE3" w:rsidRPr="006D73C8">
        <w:t>,</w:t>
      </w:r>
      <w:r w:rsidR="00E8465A" w:rsidRPr="006D73C8">
        <w:t xml:space="preserve"> in ima skoraj 2.000 km oziroma 12 % skupne dolžine elektrodistribucijskega omrežja.</w:t>
      </w:r>
      <w:r w:rsidR="00F4257F">
        <w:t xml:space="preserve"> </w:t>
      </w:r>
    </w:p>
    <w:p w:rsidR="00586248" w:rsidRDefault="00586248" w:rsidP="00551EA7">
      <w:pPr>
        <w:spacing w:after="0" w:line="240" w:lineRule="auto"/>
        <w:jc w:val="both"/>
      </w:pPr>
    </w:p>
    <w:p w:rsidR="00A40D70" w:rsidRPr="00551EA7" w:rsidRDefault="00F4257F" w:rsidP="00551EA7">
      <w:pPr>
        <w:spacing w:after="0" w:line="240" w:lineRule="auto"/>
        <w:jc w:val="both"/>
        <w:rPr>
          <w:highlight w:val="green"/>
        </w:rPr>
      </w:pPr>
      <w:r>
        <w:t>Za to območno enoto je značilna večja razpršenost poseljenosti, saj je za oskrbo 9 % uporabnikov potrebno vzdrževati 12 % omrežja.</w:t>
      </w:r>
    </w:p>
    <w:p w:rsidR="00A40D70" w:rsidRPr="00247832" w:rsidRDefault="00A40D70" w:rsidP="00551EA7">
      <w:pPr>
        <w:spacing w:after="0" w:line="240" w:lineRule="auto"/>
        <w:jc w:val="both"/>
        <w:rPr>
          <w:highlight w:val="yellow"/>
        </w:rPr>
      </w:pPr>
    </w:p>
    <w:p w:rsidR="00A40D70" w:rsidRPr="00247832" w:rsidRDefault="00A40D70" w:rsidP="00551EA7">
      <w:pPr>
        <w:spacing w:after="0" w:line="240" w:lineRule="auto"/>
        <w:jc w:val="center"/>
        <w:rPr>
          <w:highlight w:val="yellow"/>
        </w:rPr>
      </w:pPr>
      <w:r w:rsidRPr="008E4558">
        <w:rPr>
          <w:noProof/>
          <w:lang w:eastAsia="sl-SI"/>
        </w:rPr>
        <w:lastRenderedPageBreak/>
        <w:drawing>
          <wp:inline distT="0" distB="0" distL="0" distR="0" wp14:anchorId="573B00F4" wp14:editId="0DA08156">
            <wp:extent cx="4899804" cy="307865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37" cy="307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70" w:rsidRDefault="00A40D70" w:rsidP="00551EA7">
      <w:pPr>
        <w:spacing w:after="0" w:line="240" w:lineRule="auto"/>
        <w:jc w:val="both"/>
        <w:rPr>
          <w:highlight w:val="yellow"/>
        </w:rPr>
      </w:pPr>
    </w:p>
    <w:p w:rsidR="00F4257F" w:rsidRPr="00247832" w:rsidRDefault="00F4257F" w:rsidP="00F4257F">
      <w:pPr>
        <w:spacing w:after="0" w:line="240" w:lineRule="auto"/>
        <w:jc w:val="both"/>
        <w:rPr>
          <w:highlight w:val="yellow"/>
        </w:rPr>
      </w:pPr>
    </w:p>
    <w:p w:rsidR="00F4257F" w:rsidRPr="00551EA7" w:rsidRDefault="00F4257F" w:rsidP="00F4257F">
      <w:pPr>
        <w:spacing w:after="0" w:line="240" w:lineRule="auto"/>
        <w:jc w:val="center"/>
        <w:rPr>
          <w:b/>
          <w:color w:val="0070C0"/>
        </w:rPr>
      </w:pPr>
      <w:r w:rsidRPr="00551EA7">
        <w:rPr>
          <w:b/>
          <w:color w:val="0070C0"/>
        </w:rPr>
        <w:t>Konična moč</w:t>
      </w:r>
    </w:p>
    <w:p w:rsidR="00F4257F" w:rsidRPr="00247832" w:rsidRDefault="00F4257F" w:rsidP="00F4257F">
      <w:pPr>
        <w:spacing w:after="0" w:line="240" w:lineRule="auto"/>
        <w:jc w:val="both"/>
        <w:rPr>
          <w:highlight w:val="yellow"/>
        </w:rPr>
      </w:pPr>
    </w:p>
    <w:p w:rsidR="00F4257F" w:rsidRDefault="00F4257F" w:rsidP="00F4257F">
      <w:pPr>
        <w:spacing w:after="0" w:line="240" w:lineRule="auto"/>
        <w:jc w:val="both"/>
      </w:pPr>
      <w:r w:rsidRPr="000C63F1">
        <w:t>Konična moč distribucijskega sistema Elektro Maribor je bila v letu 201</w:t>
      </w:r>
      <w:r>
        <w:t>7</w:t>
      </w:r>
      <w:r w:rsidRPr="000C63F1">
        <w:t xml:space="preserve"> najvišja v mesecu </w:t>
      </w:r>
      <w:r>
        <w:t xml:space="preserve">januarju </w:t>
      </w:r>
      <w:r w:rsidRPr="000C63F1">
        <w:t xml:space="preserve">in </w:t>
      </w:r>
      <w:r>
        <w:t xml:space="preserve">je znašala 435 MW. Na navedeno so v veliki meri vplivale zelo nizke temperature. </w:t>
      </w:r>
      <w:r w:rsidRPr="000C63F1">
        <w:t xml:space="preserve"> </w:t>
      </w:r>
    </w:p>
    <w:p w:rsidR="00F4257F" w:rsidRDefault="00F4257F" w:rsidP="00F4257F">
      <w:pPr>
        <w:spacing w:after="0" w:line="240" w:lineRule="auto"/>
        <w:jc w:val="both"/>
      </w:pPr>
    </w:p>
    <w:p w:rsidR="00F4257F" w:rsidRDefault="00F4257F" w:rsidP="00F4257F">
      <w:pPr>
        <w:spacing w:after="0" w:line="240" w:lineRule="auto"/>
        <w:jc w:val="both"/>
      </w:pPr>
      <w:r w:rsidRPr="006E2C89">
        <w:t xml:space="preserve">Konična moč distribucijskega sistema na področju OE Gornja Radgona je </w:t>
      </w:r>
      <w:r>
        <w:t>v letu 2017 znašala 42</w:t>
      </w:r>
      <w:r w:rsidRPr="006E2C89">
        <w:t xml:space="preserve"> MW, najvišja pa je bila v </w:t>
      </w:r>
      <w:r>
        <w:t>februarju</w:t>
      </w:r>
      <w:r w:rsidRPr="006E2C89">
        <w:t>.</w:t>
      </w:r>
      <w:r>
        <w:t xml:space="preserve"> Gre za najvišjo konično obremenitev po letu 2012.</w:t>
      </w:r>
    </w:p>
    <w:p w:rsidR="00F4257F" w:rsidRDefault="00F4257F" w:rsidP="00F4257F">
      <w:pPr>
        <w:spacing w:after="0" w:line="240" w:lineRule="auto"/>
        <w:jc w:val="both"/>
      </w:pPr>
    </w:p>
    <w:p w:rsidR="00F4257F" w:rsidRPr="00A80944" w:rsidRDefault="00F4257F" w:rsidP="00F4257F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27AF871D" wp14:editId="13DF3A88">
            <wp:extent cx="5362575" cy="3197225"/>
            <wp:effectExtent l="0" t="0" r="9525" b="317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257F" w:rsidRPr="00247832" w:rsidRDefault="00F4257F" w:rsidP="00F4257F">
      <w:pPr>
        <w:spacing w:after="0" w:line="240" w:lineRule="auto"/>
        <w:jc w:val="both"/>
        <w:rPr>
          <w:highlight w:val="yellow"/>
        </w:rPr>
      </w:pPr>
    </w:p>
    <w:p w:rsidR="00342224" w:rsidRDefault="00F4257F" w:rsidP="00F4257F">
      <w:pPr>
        <w:spacing w:after="0" w:line="240" w:lineRule="auto"/>
        <w:jc w:val="both"/>
      </w:pPr>
      <w:r w:rsidRPr="00722225">
        <w:t xml:space="preserve">Podatek o konični moči je še posebej pomemben pri načrtovanju razvoja elektrodistribucijskega omrežja, ki mora biti dimenzionirano tudi glede na konično moč. Če ta raste, se mora omrežje dodatno okrepiti. V to so usmerjena tudi prizadevanja družbe Elektro Maribor. </w:t>
      </w:r>
    </w:p>
    <w:p w:rsidR="00342224" w:rsidRDefault="00342224" w:rsidP="00F4257F">
      <w:pPr>
        <w:spacing w:after="0" w:line="240" w:lineRule="auto"/>
        <w:jc w:val="both"/>
      </w:pPr>
    </w:p>
    <w:p w:rsidR="00F4257F" w:rsidRPr="00722225" w:rsidRDefault="00F4257F" w:rsidP="00F4257F">
      <w:pPr>
        <w:spacing w:after="0" w:line="240" w:lineRule="auto"/>
        <w:jc w:val="both"/>
      </w:pPr>
      <w:r w:rsidRPr="00722225">
        <w:t xml:space="preserve">Na rast konične obremenitve vplivajo v največji meri klimatski dejavniki, pa tudi gospodarska aktivnost (povečevanje obremenitev obstoječih ter priključevanje novih </w:t>
      </w:r>
      <w:r w:rsidR="00107A14">
        <w:t>uporabnikov</w:t>
      </w:r>
      <w:r w:rsidRPr="00722225">
        <w:t xml:space="preserve"> in proizvajalcev). </w:t>
      </w:r>
    </w:p>
    <w:p w:rsidR="00F4257F" w:rsidRDefault="00F4257F" w:rsidP="00F4257F">
      <w:pPr>
        <w:spacing w:after="0" w:line="240" w:lineRule="auto"/>
        <w:jc w:val="both"/>
        <w:rPr>
          <w:highlight w:val="yellow"/>
        </w:rPr>
      </w:pPr>
    </w:p>
    <w:p w:rsidR="00F4257F" w:rsidRDefault="00F4257F" w:rsidP="00551EA7">
      <w:pPr>
        <w:spacing w:after="0" w:line="240" w:lineRule="auto"/>
        <w:jc w:val="both"/>
        <w:rPr>
          <w:highlight w:val="yellow"/>
        </w:rPr>
      </w:pPr>
    </w:p>
    <w:p w:rsidR="00342224" w:rsidRPr="00CC4212" w:rsidRDefault="00342224" w:rsidP="00342224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Obračunska moč</w:t>
      </w:r>
    </w:p>
    <w:p w:rsidR="00342224" w:rsidRDefault="00342224" w:rsidP="00551EA7">
      <w:pPr>
        <w:spacing w:after="0" w:line="240" w:lineRule="auto"/>
        <w:jc w:val="both"/>
        <w:rPr>
          <w:highlight w:val="yellow"/>
        </w:rPr>
      </w:pPr>
    </w:p>
    <w:p w:rsidR="00342224" w:rsidRDefault="00342224" w:rsidP="00342224">
      <w:pPr>
        <w:spacing w:after="0" w:line="240" w:lineRule="auto"/>
        <w:jc w:val="both"/>
      </w:pPr>
      <w:r>
        <w:t>Na območju OE Gornja Radgona se bolj izrazito kot sicer na območju Elektro Maribor povečuje obračunska moč.</w:t>
      </w:r>
      <w:r w:rsidRPr="00342224">
        <w:t xml:space="preserve"> </w:t>
      </w:r>
      <w:r>
        <w:t xml:space="preserve">Obračunska moč je izmerjena ali določena glede na varovalko </w:t>
      </w:r>
      <w:r>
        <w:t xml:space="preserve">oziroma </w:t>
      </w:r>
      <w:proofErr w:type="spellStart"/>
      <w:r>
        <w:t>omejevalec</w:t>
      </w:r>
      <w:proofErr w:type="spellEnd"/>
      <w:r>
        <w:t xml:space="preserve"> toka </w:t>
      </w:r>
      <w:r>
        <w:t>in je navedena na računu.</w:t>
      </w:r>
    </w:p>
    <w:p w:rsidR="00342224" w:rsidRDefault="00342224" w:rsidP="00342224">
      <w:pPr>
        <w:spacing w:after="0" w:line="240" w:lineRule="auto"/>
        <w:jc w:val="both"/>
      </w:pPr>
    </w:p>
    <w:p w:rsidR="00342224" w:rsidRDefault="00342224" w:rsidP="00342224">
      <w:pPr>
        <w:spacing w:after="0" w:line="240" w:lineRule="auto"/>
        <w:jc w:val="both"/>
      </w:pPr>
      <w:r>
        <w:t>O</w:t>
      </w:r>
      <w:r>
        <w:t>bračunska moč</w:t>
      </w:r>
      <w:r>
        <w:t xml:space="preserve"> se je v letu 2017 na območju OE Gornja Radgona v primerjavi z letom poprej povečala </w:t>
      </w:r>
      <w:r>
        <w:t>za 4,6 % na srednji napetosti</w:t>
      </w:r>
      <w:r>
        <w:t xml:space="preserve">, </w:t>
      </w:r>
      <w:r>
        <w:t>za 1,7 % pri poslovnem odjemu na nizki napetosti</w:t>
      </w:r>
      <w:r>
        <w:t xml:space="preserve"> in za 0,5 % v gospodinjstvih</w:t>
      </w:r>
      <w:r>
        <w:t xml:space="preserve">. </w:t>
      </w:r>
    </w:p>
    <w:p w:rsidR="00342224" w:rsidRDefault="00342224" w:rsidP="00342224">
      <w:pPr>
        <w:spacing w:after="0" w:line="240" w:lineRule="auto"/>
        <w:jc w:val="both"/>
      </w:pPr>
    </w:p>
    <w:p w:rsidR="00342224" w:rsidRDefault="00342224" w:rsidP="00342224">
      <w:pPr>
        <w:spacing w:after="0" w:line="240" w:lineRule="auto"/>
        <w:jc w:val="both"/>
      </w:pPr>
      <w:r>
        <w:t xml:space="preserve">Realizacija skupne obračunske moči je bila za 1,1 % večja kot v letu 2016, na območju Elektro Maribor pa je bila za 0,9 % večja. </w:t>
      </w:r>
    </w:p>
    <w:p w:rsidR="00342224" w:rsidRDefault="00342224" w:rsidP="00342224">
      <w:pPr>
        <w:spacing w:after="0" w:line="240" w:lineRule="auto"/>
        <w:jc w:val="both"/>
        <w:rPr>
          <w:highlight w:val="yellow"/>
        </w:rPr>
      </w:pPr>
    </w:p>
    <w:tbl>
      <w:tblPr>
        <w:tblW w:w="75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960"/>
        <w:gridCol w:w="1820"/>
      </w:tblGrid>
      <w:tr w:rsidR="00586248" w:rsidRPr="00991023" w:rsidTr="00586248">
        <w:trPr>
          <w:trHeight w:val="1077"/>
          <w:jc w:val="center"/>
        </w:trPr>
        <w:tc>
          <w:tcPr>
            <w:tcW w:w="3720" w:type="dxa"/>
            <w:shd w:val="clear" w:color="000000" w:fill="DCE6F1"/>
            <w:vAlign w:val="center"/>
            <w:hideMark/>
          </w:tcPr>
          <w:p w:rsidR="00586248" w:rsidRDefault="00586248" w:rsidP="0058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Gornja Radgona</w:t>
            </w:r>
          </w:p>
          <w:p w:rsidR="00586248" w:rsidRPr="00991023" w:rsidRDefault="00586248" w:rsidP="005862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Spremembe v letu 2017 v </w:t>
            </w: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primerjav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i </w:t>
            </w: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z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letom</w:t>
            </w: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2016</w:t>
            </w:r>
          </w:p>
        </w:tc>
        <w:tc>
          <w:tcPr>
            <w:tcW w:w="1960" w:type="dxa"/>
            <w:shd w:val="clear" w:color="000000" w:fill="DCE6F1"/>
            <w:vAlign w:val="center"/>
            <w:hideMark/>
          </w:tcPr>
          <w:p w:rsidR="00586248" w:rsidRPr="00991023" w:rsidRDefault="00586248" w:rsidP="00414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Obračunska moč</w:t>
            </w:r>
          </w:p>
        </w:tc>
        <w:tc>
          <w:tcPr>
            <w:tcW w:w="1820" w:type="dxa"/>
            <w:shd w:val="clear" w:color="000000" w:fill="DCE6F1"/>
            <w:vAlign w:val="center"/>
            <w:hideMark/>
          </w:tcPr>
          <w:p w:rsidR="00586248" w:rsidRPr="00991023" w:rsidRDefault="00586248" w:rsidP="00414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Energija</w:t>
            </w:r>
          </w:p>
        </w:tc>
      </w:tr>
      <w:tr w:rsidR="00342224" w:rsidRPr="00991023" w:rsidTr="00586248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42224" w:rsidRPr="00991023" w:rsidRDefault="00342224" w:rsidP="00414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0000"/>
                <w:lang w:eastAsia="sl-SI"/>
              </w:rPr>
              <w:t>Srednja napetost (SN)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4,6%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3,7%</w:t>
            </w:r>
          </w:p>
        </w:tc>
      </w:tr>
      <w:tr w:rsidR="00342224" w:rsidRPr="00991023" w:rsidTr="00586248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42224" w:rsidRPr="00991023" w:rsidRDefault="00342224" w:rsidP="00414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0000"/>
                <w:lang w:eastAsia="sl-SI"/>
              </w:rPr>
              <w:t>Nizka napetost (NN) – poslovni odjem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1,7%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4,3%</w:t>
            </w:r>
          </w:p>
        </w:tc>
      </w:tr>
      <w:tr w:rsidR="00342224" w:rsidRPr="00991023" w:rsidTr="00586248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42224" w:rsidRPr="00991023" w:rsidRDefault="00342224" w:rsidP="00414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0000"/>
                <w:lang w:eastAsia="sl-SI"/>
              </w:rPr>
              <w:t>Gospodinjstva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0,5%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color w:val="00B050"/>
                <w:lang w:eastAsia="sl-SI"/>
              </w:rPr>
              <w:t>3,1%</w:t>
            </w:r>
          </w:p>
        </w:tc>
      </w:tr>
      <w:tr w:rsidR="00342224" w:rsidRPr="00991023" w:rsidTr="00586248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42224" w:rsidRPr="00991023" w:rsidRDefault="00342224" w:rsidP="00414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  <w:t>1,1%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342224" w:rsidRPr="00991023" w:rsidRDefault="00342224" w:rsidP="005862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</w:pPr>
            <w:r w:rsidRPr="00991023"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  <w:t>3,6%</w:t>
            </w:r>
          </w:p>
        </w:tc>
      </w:tr>
    </w:tbl>
    <w:p w:rsidR="00342224" w:rsidRDefault="00342224" w:rsidP="00342224">
      <w:pPr>
        <w:spacing w:after="0" w:line="240" w:lineRule="auto"/>
        <w:jc w:val="both"/>
        <w:rPr>
          <w:highlight w:val="yellow"/>
        </w:rPr>
      </w:pPr>
    </w:p>
    <w:p w:rsidR="00342224" w:rsidRPr="00247832" w:rsidRDefault="00342224" w:rsidP="00342224">
      <w:pPr>
        <w:spacing w:after="0" w:line="240" w:lineRule="auto"/>
        <w:jc w:val="both"/>
        <w:rPr>
          <w:highlight w:val="yellow"/>
        </w:rPr>
      </w:pPr>
    </w:p>
    <w:p w:rsidR="003126CE" w:rsidRPr="00CC4212" w:rsidRDefault="00342224" w:rsidP="00551EA7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Distribuirana energija</w:t>
      </w:r>
    </w:p>
    <w:p w:rsidR="003126CE" w:rsidRPr="00247832" w:rsidRDefault="003126CE" w:rsidP="00551EA7">
      <w:pPr>
        <w:spacing w:after="0" w:line="240" w:lineRule="auto"/>
        <w:jc w:val="both"/>
        <w:rPr>
          <w:highlight w:val="yellow"/>
        </w:rPr>
      </w:pPr>
    </w:p>
    <w:p w:rsidR="00342224" w:rsidRDefault="00342224" w:rsidP="00551EA7">
      <w:pPr>
        <w:spacing w:after="0" w:line="240" w:lineRule="auto"/>
        <w:jc w:val="both"/>
        <w:rPr>
          <w:iCs/>
        </w:rPr>
      </w:pPr>
      <w:r>
        <w:rPr>
          <w:iCs/>
        </w:rPr>
        <w:t>Tudi dinamika povečevanja odjema je bila v letu 2017 na območju OE Gornja Radgona bolj izrazita kot sicer na območju Elektro Maribor.</w:t>
      </w:r>
    </w:p>
    <w:p w:rsidR="00342224" w:rsidRDefault="00342224" w:rsidP="00551EA7">
      <w:pPr>
        <w:spacing w:after="0" w:line="240" w:lineRule="auto"/>
        <w:jc w:val="both"/>
        <w:rPr>
          <w:iCs/>
        </w:rPr>
      </w:pPr>
    </w:p>
    <w:p w:rsidR="00342224" w:rsidRDefault="00342224" w:rsidP="00551EA7">
      <w:pPr>
        <w:spacing w:after="0" w:line="240" w:lineRule="auto"/>
        <w:jc w:val="both"/>
        <w:rPr>
          <w:iCs/>
        </w:rPr>
      </w:pPr>
      <w:r>
        <w:rPr>
          <w:iCs/>
        </w:rPr>
        <w:t>G</w:t>
      </w:r>
      <w:r w:rsidR="003B7766" w:rsidRPr="001511DE">
        <w:rPr>
          <w:iCs/>
        </w:rPr>
        <w:t xml:space="preserve">ospodinjski odjem na oskrbnem območju Območne enote Gornja Radgona je bil </w:t>
      </w:r>
      <w:r w:rsidR="00991023">
        <w:rPr>
          <w:iCs/>
        </w:rPr>
        <w:t>v letu 2017</w:t>
      </w:r>
      <w:r w:rsidR="00CC4212" w:rsidRPr="001511DE">
        <w:rPr>
          <w:iCs/>
        </w:rPr>
        <w:t xml:space="preserve"> </w:t>
      </w:r>
      <w:r w:rsidR="003B7766" w:rsidRPr="001511DE">
        <w:rPr>
          <w:iCs/>
        </w:rPr>
        <w:t xml:space="preserve">za </w:t>
      </w:r>
      <w:r w:rsidR="006A0BDE">
        <w:rPr>
          <w:iCs/>
        </w:rPr>
        <w:t>3,1</w:t>
      </w:r>
      <w:r w:rsidR="003B7766" w:rsidRPr="001511DE">
        <w:rPr>
          <w:iCs/>
        </w:rPr>
        <w:t xml:space="preserve"> % </w:t>
      </w:r>
      <w:r w:rsidR="00CC4212" w:rsidRPr="001511DE">
        <w:rPr>
          <w:iCs/>
        </w:rPr>
        <w:t>večj</w:t>
      </w:r>
      <w:r>
        <w:rPr>
          <w:iCs/>
        </w:rPr>
        <w:t>i</w:t>
      </w:r>
      <w:r w:rsidR="003B7766" w:rsidRPr="001511DE">
        <w:rPr>
          <w:iCs/>
        </w:rPr>
        <w:t xml:space="preserve"> kot v </w:t>
      </w:r>
      <w:r w:rsidR="00CC4212" w:rsidRPr="001511DE">
        <w:rPr>
          <w:iCs/>
        </w:rPr>
        <w:t xml:space="preserve">letu </w:t>
      </w:r>
      <w:r w:rsidR="003B7766" w:rsidRPr="001511DE">
        <w:rPr>
          <w:iCs/>
        </w:rPr>
        <w:t>201</w:t>
      </w:r>
      <w:r w:rsidR="00991023">
        <w:rPr>
          <w:iCs/>
        </w:rPr>
        <w:t>6</w:t>
      </w:r>
      <w:bookmarkStart w:id="0" w:name="_GoBack"/>
      <w:bookmarkEnd w:id="0"/>
      <w:r w:rsidR="00797115" w:rsidRPr="001511DE">
        <w:rPr>
          <w:iCs/>
        </w:rPr>
        <w:t xml:space="preserve">, kar je </w:t>
      </w:r>
      <w:r w:rsidR="00CC4212" w:rsidRPr="001511DE">
        <w:rPr>
          <w:iCs/>
        </w:rPr>
        <w:t xml:space="preserve">več </w:t>
      </w:r>
      <w:r w:rsidR="00797115" w:rsidRPr="001511DE">
        <w:rPr>
          <w:iCs/>
        </w:rPr>
        <w:t>kot na območju Elektro Maribor, kjer je bil</w:t>
      </w:r>
      <w:r w:rsidR="006A0BDE">
        <w:rPr>
          <w:iCs/>
        </w:rPr>
        <w:t xml:space="preserve"> gospodinjski</w:t>
      </w:r>
      <w:r w:rsidR="00D218C1">
        <w:rPr>
          <w:iCs/>
        </w:rPr>
        <w:t xml:space="preserve"> </w:t>
      </w:r>
      <w:r w:rsidR="006A0BDE">
        <w:rPr>
          <w:iCs/>
        </w:rPr>
        <w:t>odjem 2,4</w:t>
      </w:r>
      <w:r w:rsidR="00797115" w:rsidRPr="001511DE">
        <w:rPr>
          <w:iCs/>
        </w:rPr>
        <w:t xml:space="preserve"> % </w:t>
      </w:r>
      <w:r w:rsidR="00CC4212" w:rsidRPr="001511DE">
        <w:rPr>
          <w:iCs/>
        </w:rPr>
        <w:t>večj</w:t>
      </w:r>
      <w:r w:rsidR="00D218C1">
        <w:rPr>
          <w:iCs/>
        </w:rPr>
        <w:t>i</w:t>
      </w:r>
      <w:r w:rsidR="00797115" w:rsidRPr="001511DE">
        <w:rPr>
          <w:iCs/>
        </w:rPr>
        <w:t>.</w:t>
      </w:r>
      <w:r w:rsidR="003B7766" w:rsidRPr="001511DE">
        <w:rPr>
          <w:iCs/>
        </w:rPr>
        <w:t xml:space="preserve"> </w:t>
      </w:r>
    </w:p>
    <w:p w:rsidR="00342224" w:rsidRDefault="00342224" w:rsidP="00551EA7">
      <w:pPr>
        <w:spacing w:after="0" w:line="240" w:lineRule="auto"/>
        <w:jc w:val="both"/>
        <w:rPr>
          <w:iCs/>
        </w:rPr>
      </w:pPr>
    </w:p>
    <w:p w:rsidR="00A151DB" w:rsidRPr="001511DE" w:rsidRDefault="00342224" w:rsidP="00551EA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l-SI"/>
        </w:rPr>
      </w:pPr>
      <w:r>
        <w:rPr>
          <w:iCs/>
        </w:rPr>
        <w:t>O</w:t>
      </w:r>
      <w:r w:rsidR="003B7766" w:rsidRPr="001511DE">
        <w:rPr>
          <w:iCs/>
        </w:rPr>
        <w:t xml:space="preserve">djem na </w:t>
      </w:r>
      <w:r w:rsidR="00CC4212" w:rsidRPr="001511DE">
        <w:rPr>
          <w:iCs/>
        </w:rPr>
        <w:t>srednji napetosti (</w:t>
      </w:r>
      <w:r w:rsidR="003B7766" w:rsidRPr="001511DE">
        <w:rPr>
          <w:iCs/>
        </w:rPr>
        <w:t>SN</w:t>
      </w:r>
      <w:r w:rsidR="00CC4212" w:rsidRPr="001511DE">
        <w:rPr>
          <w:iCs/>
        </w:rPr>
        <w:t xml:space="preserve">) je bil za </w:t>
      </w:r>
      <w:r w:rsidR="00991023">
        <w:rPr>
          <w:iCs/>
        </w:rPr>
        <w:t>3</w:t>
      </w:r>
      <w:r w:rsidR="007A17DD" w:rsidRPr="001511DE">
        <w:rPr>
          <w:iCs/>
        </w:rPr>
        <w:t>,7</w:t>
      </w:r>
      <w:r w:rsidR="003B7766" w:rsidRPr="001511DE">
        <w:rPr>
          <w:iCs/>
        </w:rPr>
        <w:t xml:space="preserve"> % </w:t>
      </w:r>
      <w:r w:rsidR="007A17DD" w:rsidRPr="001511DE">
        <w:rPr>
          <w:iCs/>
        </w:rPr>
        <w:t>večj</w:t>
      </w:r>
      <w:r>
        <w:rPr>
          <w:iCs/>
        </w:rPr>
        <w:t>i</w:t>
      </w:r>
      <w:r w:rsidR="00CC4212" w:rsidRPr="001511DE">
        <w:rPr>
          <w:iCs/>
        </w:rPr>
        <w:t xml:space="preserve"> (na območju Elektra</w:t>
      </w:r>
      <w:r w:rsidR="001511DE" w:rsidRPr="001511DE">
        <w:rPr>
          <w:iCs/>
        </w:rPr>
        <w:t xml:space="preserve"> Maribor</w:t>
      </w:r>
      <w:r w:rsidR="00797115" w:rsidRPr="001511DE">
        <w:rPr>
          <w:iCs/>
        </w:rPr>
        <w:t xml:space="preserve"> </w:t>
      </w:r>
      <w:r w:rsidR="00CC4212" w:rsidRPr="001511DE">
        <w:rPr>
          <w:iCs/>
        </w:rPr>
        <w:t xml:space="preserve">za </w:t>
      </w:r>
      <w:r w:rsidR="00991023">
        <w:rPr>
          <w:iCs/>
        </w:rPr>
        <w:t>3</w:t>
      </w:r>
      <w:r w:rsidR="00797115" w:rsidRPr="001511DE">
        <w:rPr>
          <w:iCs/>
        </w:rPr>
        <w:t xml:space="preserve"> %</w:t>
      </w:r>
      <w:r w:rsidR="00CC4212" w:rsidRPr="001511DE">
        <w:rPr>
          <w:iCs/>
        </w:rPr>
        <w:t xml:space="preserve"> večj</w:t>
      </w:r>
      <w:r>
        <w:rPr>
          <w:iCs/>
        </w:rPr>
        <w:t>i</w:t>
      </w:r>
      <w:r w:rsidR="00797115" w:rsidRPr="001511DE">
        <w:rPr>
          <w:iCs/>
        </w:rPr>
        <w:t>)</w:t>
      </w:r>
      <w:r w:rsidR="003B7766" w:rsidRPr="001511DE">
        <w:rPr>
          <w:iCs/>
        </w:rPr>
        <w:t xml:space="preserve">, poslovni odjem na </w:t>
      </w:r>
      <w:r w:rsidR="001511DE" w:rsidRPr="001511DE">
        <w:rPr>
          <w:iCs/>
        </w:rPr>
        <w:t>nizki napetosti (</w:t>
      </w:r>
      <w:r w:rsidR="003B7766" w:rsidRPr="001511DE">
        <w:rPr>
          <w:iCs/>
        </w:rPr>
        <w:t>NN</w:t>
      </w:r>
      <w:r w:rsidR="001511DE" w:rsidRPr="001511DE">
        <w:rPr>
          <w:iCs/>
        </w:rPr>
        <w:t>)</w:t>
      </w:r>
      <w:r w:rsidR="003B7766" w:rsidRPr="001511DE">
        <w:rPr>
          <w:iCs/>
        </w:rPr>
        <w:t xml:space="preserve"> </w:t>
      </w:r>
      <w:r>
        <w:rPr>
          <w:iCs/>
        </w:rPr>
        <w:t xml:space="preserve">pa </w:t>
      </w:r>
      <w:r w:rsidR="00CC4212" w:rsidRPr="001511DE">
        <w:rPr>
          <w:iCs/>
        </w:rPr>
        <w:t xml:space="preserve">za </w:t>
      </w:r>
      <w:r w:rsidR="00991023">
        <w:rPr>
          <w:iCs/>
        </w:rPr>
        <w:t>4,3</w:t>
      </w:r>
      <w:r w:rsidR="003B7766" w:rsidRPr="001511DE">
        <w:rPr>
          <w:iCs/>
        </w:rPr>
        <w:t xml:space="preserve"> % </w:t>
      </w:r>
      <w:r w:rsidR="00CC4212" w:rsidRPr="001511DE">
        <w:rPr>
          <w:iCs/>
        </w:rPr>
        <w:t>večj</w:t>
      </w:r>
      <w:r>
        <w:rPr>
          <w:iCs/>
        </w:rPr>
        <w:t>i</w:t>
      </w:r>
      <w:r w:rsidR="003B7766" w:rsidRPr="001511DE">
        <w:rPr>
          <w:iCs/>
        </w:rPr>
        <w:t xml:space="preserve"> kot v 201</w:t>
      </w:r>
      <w:r w:rsidR="00991023">
        <w:rPr>
          <w:iCs/>
        </w:rPr>
        <w:t>6</w:t>
      </w:r>
      <w:r w:rsidR="00797115" w:rsidRPr="001511DE">
        <w:rPr>
          <w:iCs/>
        </w:rPr>
        <w:t xml:space="preserve"> </w:t>
      </w:r>
      <w:r w:rsidR="001511DE" w:rsidRPr="001511DE">
        <w:rPr>
          <w:iCs/>
        </w:rPr>
        <w:t>(na območju Elektra Maribor z</w:t>
      </w:r>
      <w:r w:rsidR="00CC4212" w:rsidRPr="001511DE">
        <w:rPr>
          <w:iCs/>
        </w:rPr>
        <w:t>a 2</w:t>
      </w:r>
      <w:r w:rsidR="00991023">
        <w:rPr>
          <w:iCs/>
        </w:rPr>
        <w:t>,1</w:t>
      </w:r>
      <w:r w:rsidR="00797115" w:rsidRPr="001511DE">
        <w:rPr>
          <w:iCs/>
        </w:rPr>
        <w:t xml:space="preserve"> % </w:t>
      </w:r>
      <w:r w:rsidR="00CC4212" w:rsidRPr="001511DE">
        <w:rPr>
          <w:iCs/>
        </w:rPr>
        <w:t>večj</w:t>
      </w:r>
      <w:r>
        <w:rPr>
          <w:iCs/>
        </w:rPr>
        <w:t>i</w:t>
      </w:r>
      <w:r w:rsidR="00797115" w:rsidRPr="001511DE">
        <w:rPr>
          <w:iCs/>
        </w:rPr>
        <w:t>)</w:t>
      </w:r>
      <w:r w:rsidR="003B7766" w:rsidRPr="001511DE">
        <w:rPr>
          <w:iCs/>
        </w:rPr>
        <w:t xml:space="preserve">, </w:t>
      </w:r>
      <w:r w:rsidR="003B7766" w:rsidRPr="001511DE">
        <w:t>na kar so vplivala gospodarska gibanja na distribucijskem območju.</w:t>
      </w:r>
      <w:r w:rsidR="003B7766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</w:t>
      </w:r>
    </w:p>
    <w:p w:rsidR="00342224" w:rsidRDefault="00342224" w:rsidP="00551EA7">
      <w:pPr>
        <w:spacing w:after="0" w:line="240" w:lineRule="auto"/>
        <w:jc w:val="both"/>
        <w:rPr>
          <w:iCs/>
        </w:rPr>
      </w:pPr>
    </w:p>
    <w:p w:rsidR="00407387" w:rsidRDefault="00C03716" w:rsidP="001747C5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highlight w:val="yellow"/>
          <w:lang w:eastAsia="sl-SI"/>
        </w:rPr>
      </w:pPr>
      <w:r>
        <w:rPr>
          <w:noProof/>
          <w:lang w:eastAsia="sl-SI"/>
        </w:rPr>
        <w:drawing>
          <wp:inline distT="0" distB="0" distL="0" distR="0" wp14:anchorId="5B77746D" wp14:editId="3CAD9B42">
            <wp:extent cx="5897880" cy="3268980"/>
            <wp:effectExtent l="0" t="0" r="7620" b="7620"/>
            <wp:docPr id="3" name="Grafikon 3" title="Distribuirana energij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747C5" w:rsidRPr="00247832" w:rsidRDefault="001747C5" w:rsidP="00551EA7">
      <w:pPr>
        <w:spacing w:after="0" w:line="240" w:lineRule="auto"/>
        <w:rPr>
          <w:rFonts w:ascii="Calibri" w:eastAsia="Times New Roman" w:hAnsi="Calibri" w:cs="Times New Roman"/>
          <w:bCs/>
          <w:color w:val="000000"/>
          <w:highlight w:val="yellow"/>
          <w:lang w:eastAsia="sl-SI"/>
        </w:rPr>
      </w:pPr>
    </w:p>
    <w:p w:rsidR="00D2057D" w:rsidRDefault="004F753F" w:rsidP="00551EA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l-SI"/>
        </w:rPr>
      </w:pPr>
      <w:r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Na območju Gornje Radgone </w:t>
      </w:r>
      <w:r w:rsidR="001C5799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je </w:t>
      </w:r>
      <w:r w:rsidRPr="001511DE">
        <w:rPr>
          <w:rFonts w:ascii="Calibri" w:eastAsia="Times New Roman" w:hAnsi="Calibri" w:cs="Times New Roman"/>
          <w:bCs/>
          <w:color w:val="000000"/>
          <w:lang w:eastAsia="sl-SI"/>
        </w:rPr>
        <w:t>pada</w:t>
      </w:r>
      <w:r w:rsidR="001C5799" w:rsidRPr="001511DE">
        <w:rPr>
          <w:rFonts w:ascii="Calibri" w:eastAsia="Times New Roman" w:hAnsi="Calibri" w:cs="Times New Roman"/>
          <w:bCs/>
          <w:color w:val="000000"/>
          <w:lang w:eastAsia="sl-SI"/>
        </w:rPr>
        <w:t>la</w:t>
      </w:r>
      <w:r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dis</w:t>
      </w:r>
      <w:r w:rsidR="001C5799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tribuirana električna energija </w:t>
      </w:r>
      <w:r w:rsidRPr="001511DE">
        <w:rPr>
          <w:rFonts w:ascii="Calibri" w:eastAsia="Times New Roman" w:hAnsi="Calibri" w:cs="Times New Roman"/>
          <w:bCs/>
          <w:color w:val="000000"/>
          <w:lang w:eastAsia="sl-SI"/>
        </w:rPr>
        <w:t>od leta 2011</w:t>
      </w:r>
      <w:r w:rsidR="001C5799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do leta 2014</w:t>
      </w:r>
      <w:r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. </w:t>
      </w:r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>Po letu 2014 pa</w:t>
      </w:r>
      <w:r w:rsidR="001C5799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je</w:t>
      </w:r>
      <w:r w:rsidR="004C4646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opazna </w:t>
      </w:r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 xml:space="preserve">precejšnja </w:t>
      </w:r>
      <w:r w:rsidR="004C4646" w:rsidRPr="001511DE">
        <w:rPr>
          <w:rFonts w:ascii="Calibri" w:eastAsia="Times New Roman" w:hAnsi="Calibri" w:cs="Times New Roman"/>
          <w:bCs/>
          <w:color w:val="000000"/>
          <w:lang w:eastAsia="sl-SI"/>
        </w:rPr>
        <w:t>rast</w:t>
      </w:r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 xml:space="preserve">. Leta 2016 je bila presežena </w:t>
      </w:r>
      <w:proofErr w:type="spellStart"/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>predkrizna</w:t>
      </w:r>
      <w:proofErr w:type="spellEnd"/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 xml:space="preserve"> raven iz leta 2008. Leto 2017 je že drugo leto zapored z zabeleženo rekordno ravnijo distribuirane električne energije. Vrednost 190 GWh v letu 2017 predstavlja do sedaj najvišji obseg distribuirane električne energije na območju OE G</w:t>
      </w:r>
      <w:r w:rsidR="003F646C">
        <w:rPr>
          <w:rFonts w:ascii="Calibri" w:eastAsia="Times New Roman" w:hAnsi="Calibri" w:cs="Times New Roman"/>
          <w:bCs/>
          <w:color w:val="000000"/>
          <w:lang w:eastAsia="sl-SI"/>
        </w:rPr>
        <w:t>ornja R</w:t>
      </w:r>
      <w:r w:rsidR="00D2057D">
        <w:rPr>
          <w:rFonts w:ascii="Calibri" w:eastAsia="Times New Roman" w:hAnsi="Calibri" w:cs="Times New Roman"/>
          <w:bCs/>
          <w:color w:val="000000"/>
          <w:lang w:eastAsia="sl-SI"/>
        </w:rPr>
        <w:t>adgona.</w:t>
      </w:r>
    </w:p>
    <w:p w:rsidR="00D2057D" w:rsidRDefault="00D2057D" w:rsidP="00551EA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l-SI"/>
        </w:rPr>
      </w:pPr>
    </w:p>
    <w:p w:rsidR="004F753F" w:rsidRDefault="00D2057D" w:rsidP="00551EA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l-SI"/>
        </w:rPr>
      </w:pPr>
      <w:r>
        <w:rPr>
          <w:rFonts w:ascii="Calibri" w:eastAsia="Times New Roman" w:hAnsi="Calibri" w:cs="Times New Roman"/>
          <w:bCs/>
          <w:color w:val="000000"/>
          <w:lang w:eastAsia="sl-SI"/>
        </w:rPr>
        <w:t>V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 xml:space="preserve"> daljšem časovnem obdobju od leta 2005 do leta 2017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 xml:space="preserve"> pa izkazuje o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>bmočje Gornje Radgone</w:t>
      </w:r>
      <w:r w:rsidR="004C4646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 xml:space="preserve">sicer </w:t>
      </w:r>
      <w:r w:rsidR="001511DE" w:rsidRPr="001511DE">
        <w:rPr>
          <w:rFonts w:ascii="Calibri" w:eastAsia="Times New Roman" w:hAnsi="Calibri" w:cs="Times New Roman"/>
          <w:bCs/>
          <w:color w:val="000000"/>
          <w:lang w:eastAsia="sl-SI"/>
        </w:rPr>
        <w:t>poleg</w:t>
      </w:r>
      <w:r w:rsidR="004C4646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območja Maribora z okolico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najnižjo povprečno letno stopnjo rasti 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>odjema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med vsemi območnimi eno</w:t>
      </w:r>
      <w:r w:rsidR="0066761B" w:rsidRPr="001511DE">
        <w:rPr>
          <w:rFonts w:ascii="Calibri" w:eastAsia="Times New Roman" w:hAnsi="Calibri" w:cs="Times New Roman"/>
          <w:bCs/>
          <w:color w:val="000000"/>
          <w:lang w:eastAsia="sl-SI"/>
        </w:rPr>
        <w:t>t</w:t>
      </w:r>
      <w:r w:rsidR="00B82E5F">
        <w:rPr>
          <w:rFonts w:ascii="Calibri" w:eastAsia="Times New Roman" w:hAnsi="Calibri" w:cs="Times New Roman"/>
          <w:bCs/>
          <w:color w:val="000000"/>
          <w:lang w:eastAsia="sl-SI"/>
        </w:rPr>
        <w:t>ami Elektro Maribor in sicer 1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%. Na celotnem območju Elektro Maribor je sicer v omenjenem obdobju 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>odjem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rast</w:t>
      </w:r>
      <w:r>
        <w:rPr>
          <w:rFonts w:ascii="Calibri" w:eastAsia="Times New Roman" w:hAnsi="Calibri" w:cs="Times New Roman"/>
          <w:bCs/>
          <w:color w:val="000000"/>
          <w:lang w:eastAsia="sl-SI"/>
        </w:rPr>
        <w:t>e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>l s povprečno 1,</w:t>
      </w:r>
      <w:r w:rsidR="00B82E5F">
        <w:rPr>
          <w:rFonts w:ascii="Calibri" w:eastAsia="Times New Roman" w:hAnsi="Calibri" w:cs="Times New Roman"/>
          <w:bCs/>
          <w:color w:val="000000"/>
          <w:lang w:eastAsia="sl-SI"/>
        </w:rPr>
        <w:t>5</w:t>
      </w:r>
      <w:r w:rsidR="004F753F" w:rsidRPr="001511DE">
        <w:rPr>
          <w:rFonts w:ascii="Calibri" w:eastAsia="Times New Roman" w:hAnsi="Calibri" w:cs="Times New Roman"/>
          <w:bCs/>
          <w:color w:val="000000"/>
          <w:lang w:eastAsia="sl-SI"/>
        </w:rPr>
        <w:t xml:space="preserve"> % letno stopnjo.</w:t>
      </w:r>
    </w:p>
    <w:p w:rsidR="00551EA7" w:rsidRPr="0066761B" w:rsidRDefault="00551EA7" w:rsidP="00551EA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l-SI"/>
        </w:rPr>
      </w:pPr>
    </w:p>
    <w:p w:rsidR="00B82E5F" w:rsidRPr="0066761B" w:rsidRDefault="00B82E5F" w:rsidP="00551EA7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sl-SI"/>
        </w:rPr>
      </w:pPr>
    </w:p>
    <w:p w:rsidR="003126CE" w:rsidRPr="0066761B" w:rsidRDefault="003126CE" w:rsidP="00551EA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70C0"/>
          <w:lang w:eastAsia="sl-SI"/>
        </w:rPr>
      </w:pPr>
      <w:r w:rsidRPr="0066761B">
        <w:rPr>
          <w:rFonts w:ascii="Calibri" w:eastAsia="Times New Roman" w:hAnsi="Calibri" w:cs="Times New Roman"/>
          <w:b/>
          <w:bCs/>
          <w:color w:val="0070C0"/>
          <w:lang w:eastAsia="sl-SI"/>
        </w:rPr>
        <w:t>Viri energije</w:t>
      </w:r>
    </w:p>
    <w:p w:rsidR="0032165E" w:rsidRPr="003F646C" w:rsidRDefault="0032165E" w:rsidP="003F646C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eastAsia="sl-SI"/>
        </w:rPr>
      </w:pPr>
    </w:p>
    <w:p w:rsidR="00D2057D" w:rsidRDefault="00E8465A" w:rsidP="00551EA7">
      <w:pPr>
        <w:spacing w:after="0" w:line="240" w:lineRule="auto"/>
        <w:jc w:val="both"/>
      </w:pPr>
      <w:r w:rsidRPr="006E2C89">
        <w:t>Proizvodni viri na obmo</w:t>
      </w:r>
      <w:r w:rsidRPr="006E2C89">
        <w:rPr>
          <w:rFonts w:ascii="Calibri" w:hAnsi="Calibri" w:cs="Calibri"/>
        </w:rPr>
        <w:t>č</w:t>
      </w:r>
      <w:r w:rsidRPr="006E2C89">
        <w:t>ju obmo</w:t>
      </w:r>
      <w:r w:rsidRPr="006E2C89">
        <w:rPr>
          <w:rFonts w:ascii="Calibri" w:hAnsi="Calibri" w:cs="Calibri"/>
        </w:rPr>
        <w:t>č</w:t>
      </w:r>
      <w:r w:rsidRPr="006E2C89">
        <w:t>ne enote Gornja Radgona so šele leta 2007 za</w:t>
      </w:r>
      <w:r w:rsidRPr="006E2C89">
        <w:rPr>
          <w:rFonts w:ascii="Calibri" w:hAnsi="Calibri" w:cs="Calibri"/>
        </w:rPr>
        <w:t>č</w:t>
      </w:r>
      <w:r w:rsidRPr="006E2C89">
        <w:t>eli prispevati v distribucijsko omrežje, najpozneje med vsemi obmo</w:t>
      </w:r>
      <w:r w:rsidRPr="006E2C89">
        <w:rPr>
          <w:rFonts w:ascii="Calibri" w:hAnsi="Calibri" w:cs="Calibri"/>
        </w:rPr>
        <w:t>č</w:t>
      </w:r>
      <w:r w:rsidRPr="006E2C89">
        <w:t xml:space="preserve">nimi enotami Elektra Maribor. </w:t>
      </w:r>
      <w:r w:rsidR="0066761B" w:rsidRPr="006E2C89">
        <w:t>Do leta 2012</w:t>
      </w:r>
      <w:r w:rsidRPr="006E2C89">
        <w:t xml:space="preserve"> so dosegli 13-odstotni delež. </w:t>
      </w:r>
      <w:r w:rsidR="00D2057D">
        <w:t>Z</w:t>
      </w:r>
      <w:r w:rsidR="00D2057D" w:rsidRPr="006E2C89">
        <w:t>aradi prenehanja obratovanja elektrarn na bioplin iz poslovnih razlogov</w:t>
      </w:r>
      <w:r w:rsidR="00D2057D" w:rsidRPr="006E2C89">
        <w:t xml:space="preserve"> </w:t>
      </w:r>
      <w:r w:rsidR="00D2057D">
        <w:t xml:space="preserve">pa je ta delež padel na </w:t>
      </w:r>
      <w:r w:rsidR="00D2057D" w:rsidRPr="006E2C89">
        <w:t>10 %</w:t>
      </w:r>
      <w:r w:rsidRPr="006E2C89">
        <w:t xml:space="preserve"> leta 2013. </w:t>
      </w:r>
    </w:p>
    <w:p w:rsidR="00107A14" w:rsidRDefault="00107A14" w:rsidP="00551EA7">
      <w:pPr>
        <w:spacing w:after="0" w:line="240" w:lineRule="auto"/>
        <w:jc w:val="both"/>
      </w:pPr>
    </w:p>
    <w:p w:rsidR="00D2057D" w:rsidRDefault="00107A14" w:rsidP="00551EA7">
      <w:pPr>
        <w:spacing w:after="0" w:line="240" w:lineRule="auto"/>
        <w:jc w:val="both"/>
      </w:pPr>
      <w:r w:rsidRPr="00107A14">
        <w:t>Kon</w:t>
      </w:r>
      <w:r>
        <w:t>e</w:t>
      </w:r>
      <w:r w:rsidRPr="00107A14">
        <w:t xml:space="preserve">c leta 2017 je bilo </w:t>
      </w:r>
      <w:r>
        <w:t xml:space="preserve">na območju OE Gornja Radgona v distribucijsko omrežje </w:t>
      </w:r>
      <w:r w:rsidRPr="00107A14">
        <w:t>priključenih 187 proizvodnih naprav s skupno instalirano močjo 15,87 MW</w:t>
      </w:r>
      <w:r>
        <w:t>.</w:t>
      </w:r>
    </w:p>
    <w:p w:rsidR="00107A14" w:rsidRDefault="00107A14" w:rsidP="00551EA7">
      <w:pPr>
        <w:spacing w:after="0" w:line="240" w:lineRule="auto"/>
        <w:jc w:val="both"/>
      </w:pPr>
    </w:p>
    <w:p w:rsidR="004F753F" w:rsidRPr="0066761B" w:rsidRDefault="000D3BD8" w:rsidP="00551EA7">
      <w:pPr>
        <w:spacing w:after="0" w:line="240" w:lineRule="auto"/>
        <w:jc w:val="both"/>
      </w:pPr>
      <w:r>
        <w:t>V letu 2017</w:t>
      </w:r>
      <w:r w:rsidR="004F753F" w:rsidRPr="006E2C89">
        <w:t xml:space="preserve"> </w:t>
      </w:r>
      <w:r w:rsidR="00D2057D">
        <w:t xml:space="preserve">pa </w:t>
      </w:r>
      <w:r w:rsidR="004F753F" w:rsidRPr="006E2C89">
        <w:t xml:space="preserve">je na področju OE Gornja Radgona </w:t>
      </w:r>
      <w:r w:rsidR="0066761B" w:rsidRPr="006E2C89">
        <w:t xml:space="preserve">delež proizvodnih virov </w:t>
      </w:r>
      <w:r w:rsidR="00107A14">
        <w:t xml:space="preserve">v prevzeti energiji </w:t>
      </w:r>
      <w:r w:rsidR="0066761B" w:rsidRPr="006E2C89">
        <w:t xml:space="preserve">znašal </w:t>
      </w:r>
      <w:r w:rsidR="00D2057D">
        <w:t xml:space="preserve">kar </w:t>
      </w:r>
      <w:r w:rsidR="00E416BF" w:rsidRPr="006E2C89">
        <w:t>23</w:t>
      </w:r>
      <w:r w:rsidR="004F753F" w:rsidRPr="006E2C89">
        <w:t xml:space="preserve"> %, le ti pa s</w:t>
      </w:r>
      <w:r w:rsidR="0066761B" w:rsidRPr="006E2C89">
        <w:t xml:space="preserve">o v preteklem letu proizvedli </w:t>
      </w:r>
      <w:r>
        <w:t>48,7</w:t>
      </w:r>
      <w:r w:rsidR="004A5810">
        <w:t xml:space="preserve"> G</w:t>
      </w:r>
      <w:r w:rsidR="004F753F" w:rsidRPr="006E2C89">
        <w:t xml:space="preserve">Wh električne energije, kar predstavlja </w:t>
      </w:r>
      <w:r>
        <w:t>15</w:t>
      </w:r>
      <w:r w:rsidR="004F753F" w:rsidRPr="006E2C89">
        <w:t xml:space="preserve"> % tako proizvedene energije na območju družbe Elektro Maribor.</w:t>
      </w:r>
      <w:r w:rsidR="00003ADE" w:rsidRPr="006E2C89">
        <w:t xml:space="preserve"> Poglavitni proizvodni vir na tem območju je sončna energija, manjši delež pa predstavljata tudi energija iz plina in biomase.</w:t>
      </w:r>
    </w:p>
    <w:p w:rsidR="004F753F" w:rsidRPr="00247832" w:rsidRDefault="004F753F" w:rsidP="00551EA7">
      <w:pPr>
        <w:spacing w:after="0" w:line="240" w:lineRule="auto"/>
        <w:jc w:val="both"/>
        <w:rPr>
          <w:highlight w:val="yellow"/>
        </w:rPr>
      </w:pPr>
    </w:p>
    <w:p w:rsidR="00301065" w:rsidRDefault="00D2057D" w:rsidP="00551EA7">
      <w:pPr>
        <w:spacing w:after="0" w:line="240" w:lineRule="auto"/>
        <w:jc w:val="both"/>
        <w:rPr>
          <w:rFonts w:eastAsia="Times New Roman" w:cs="Arial"/>
          <w:lang w:eastAsia="sl-SI"/>
        </w:rPr>
      </w:pPr>
      <w:r>
        <w:t xml:space="preserve">Na območju OE Gornja Radgona je nadpovprečen delež lokalno proizvedene električne energije. V letu 2017 je bilo </w:t>
      </w:r>
      <w:r w:rsidRPr="006E2C89">
        <w:t>na območju Gornje Radgone</w:t>
      </w:r>
      <w:r>
        <w:t xml:space="preserve"> r</w:t>
      </w:r>
      <w:r w:rsidR="0032165E" w:rsidRPr="006E2C89">
        <w:t xml:space="preserve">azmerje med energijo iz prenosnega omrežja in proizvodnimi viri </w:t>
      </w:r>
      <w:r w:rsidR="00E416BF" w:rsidRPr="006E2C89">
        <w:t>77</w:t>
      </w:r>
      <w:r>
        <w:t xml:space="preserve"> % </w:t>
      </w:r>
      <w:r w:rsidR="00266515" w:rsidRPr="006E2C89">
        <w:t>:</w:t>
      </w:r>
      <w:r>
        <w:t xml:space="preserve"> </w:t>
      </w:r>
      <w:r w:rsidR="00E416BF" w:rsidRPr="006E2C89">
        <w:t>23</w:t>
      </w:r>
      <w:r>
        <w:t xml:space="preserve"> %</w:t>
      </w:r>
      <w:r w:rsidR="00266515" w:rsidRPr="006E2C89">
        <w:t xml:space="preserve">, medtem ko je bilo na celotnem območju Elektro Maribor </w:t>
      </w:r>
      <w:r w:rsidR="000D3BD8">
        <w:t>86</w:t>
      </w:r>
      <w:r>
        <w:t xml:space="preserve"> % </w:t>
      </w:r>
      <w:r w:rsidR="0032165E" w:rsidRPr="006E2C89">
        <w:t>:</w:t>
      </w:r>
      <w:r>
        <w:t xml:space="preserve"> </w:t>
      </w:r>
      <w:r w:rsidR="0032165E" w:rsidRPr="006E2C89">
        <w:t>1</w:t>
      </w:r>
      <w:r w:rsidR="000D3BD8">
        <w:t>4</w:t>
      </w:r>
      <w:r>
        <w:t xml:space="preserve"> %</w:t>
      </w:r>
      <w:r w:rsidR="00E416BF" w:rsidRPr="006E2C89">
        <w:t>.</w:t>
      </w:r>
    </w:p>
    <w:p w:rsidR="00C90B88" w:rsidRPr="00B24162" w:rsidRDefault="00C90B88" w:rsidP="00551EA7">
      <w:pPr>
        <w:spacing w:after="0" w:line="240" w:lineRule="auto"/>
        <w:jc w:val="both"/>
      </w:pPr>
    </w:p>
    <w:p w:rsidR="00D2057D" w:rsidRDefault="006F1E47" w:rsidP="00551EA7">
      <w:pPr>
        <w:spacing w:after="0" w:line="240" w:lineRule="auto"/>
        <w:jc w:val="both"/>
      </w:pPr>
      <w:r w:rsidRPr="00B24162">
        <w:t>Razpršeni</w:t>
      </w:r>
      <w:r w:rsidR="00B36460" w:rsidRPr="00B24162">
        <w:t xml:space="preserve"> proizvodni</w:t>
      </w:r>
      <w:r w:rsidRPr="00B24162">
        <w:t xml:space="preserve"> viri imajo </w:t>
      </w:r>
      <w:r w:rsidR="00D2057D">
        <w:t xml:space="preserve">sicer </w:t>
      </w:r>
      <w:r w:rsidRPr="00B24162">
        <w:t xml:space="preserve">večplastne učinke. Zahtevajo tudi dodatna vlaganja v obstoječo elektrodistribucijsko infrastrukturo, dodatne ukrepe in aktivnosti pri njihovem vključevanju v omrežje in spremljanju obratovanja, lahko pa tudi negativno vplivajo na kakovost napetosti in zanesljivost obratovanja omrežja. </w:t>
      </w:r>
    </w:p>
    <w:p w:rsidR="00D2057D" w:rsidRDefault="00D2057D" w:rsidP="00551EA7">
      <w:pPr>
        <w:spacing w:after="0" w:line="240" w:lineRule="auto"/>
        <w:jc w:val="both"/>
      </w:pPr>
    </w:p>
    <w:p w:rsidR="00EB30F2" w:rsidRPr="00EB30F2" w:rsidRDefault="006F1E47" w:rsidP="00551EA7">
      <w:pPr>
        <w:spacing w:after="0" w:line="240" w:lineRule="auto"/>
        <w:jc w:val="both"/>
      </w:pPr>
      <w:r w:rsidRPr="00B24162">
        <w:t xml:space="preserve">Z nadaljnjimi vlaganji v razvoj </w:t>
      </w:r>
      <w:r w:rsidRPr="00B24162">
        <w:lastRenderedPageBreak/>
        <w:t>omrežja in s stalnim izvajanjem vseh potrebnih ukrepov za zagotavljanje zanesljive in kakovostne oskrbe prebivalcev in gospodarstva z električno energijo bomo nadaljevali tudi v prihodnjih letih.</w:t>
      </w:r>
    </w:p>
    <w:p w:rsidR="00EB30F2" w:rsidRDefault="00EB30F2" w:rsidP="00551EA7">
      <w:pPr>
        <w:spacing w:after="0" w:line="240" w:lineRule="auto"/>
        <w:jc w:val="both"/>
        <w:rPr>
          <w:highlight w:val="yellow"/>
        </w:rPr>
      </w:pPr>
    </w:p>
    <w:p w:rsidR="00EB30F2" w:rsidRPr="00247832" w:rsidRDefault="00EB30F2" w:rsidP="00551EA7">
      <w:pPr>
        <w:spacing w:after="0" w:line="240" w:lineRule="auto"/>
        <w:jc w:val="both"/>
        <w:rPr>
          <w:highlight w:val="yellow"/>
        </w:rPr>
      </w:pPr>
    </w:p>
    <w:p w:rsidR="00C90B88" w:rsidRPr="00B24162" w:rsidRDefault="00C90B88" w:rsidP="00551EA7">
      <w:pPr>
        <w:spacing w:after="0" w:line="240" w:lineRule="auto"/>
        <w:jc w:val="center"/>
      </w:pPr>
      <w:r w:rsidRPr="00B24162">
        <w:rPr>
          <w:b/>
          <w:color w:val="0070C0"/>
        </w:rPr>
        <w:t xml:space="preserve">Prevzeta energija na </w:t>
      </w:r>
      <w:r w:rsidR="00107A14">
        <w:rPr>
          <w:b/>
          <w:color w:val="0070C0"/>
        </w:rPr>
        <w:t>uporabnika</w:t>
      </w:r>
    </w:p>
    <w:p w:rsidR="00C90B88" w:rsidRPr="00247832" w:rsidRDefault="00C90B88" w:rsidP="00551EA7">
      <w:pPr>
        <w:spacing w:after="0" w:line="240" w:lineRule="auto"/>
        <w:jc w:val="both"/>
        <w:rPr>
          <w:highlight w:val="yellow"/>
        </w:rPr>
      </w:pPr>
    </w:p>
    <w:p w:rsidR="003F646C" w:rsidRDefault="00874AFE" w:rsidP="00874AFE">
      <w:pPr>
        <w:spacing w:after="0" w:line="240" w:lineRule="auto"/>
        <w:jc w:val="both"/>
      </w:pPr>
      <w:r w:rsidRPr="006E2C89">
        <w:t>Skupna povpre</w:t>
      </w:r>
      <w:r w:rsidRPr="006E2C89">
        <w:rPr>
          <w:rFonts w:cs="Calibri"/>
        </w:rPr>
        <w:t>č</w:t>
      </w:r>
      <w:r w:rsidRPr="006E2C89">
        <w:t xml:space="preserve">no prevzeta energija na </w:t>
      </w:r>
      <w:r w:rsidR="00107A14">
        <w:t>uporabnika</w:t>
      </w:r>
      <w:r w:rsidRPr="006E2C89">
        <w:t xml:space="preserve"> na celotnem obmo</w:t>
      </w:r>
      <w:r w:rsidRPr="006E2C89">
        <w:rPr>
          <w:rFonts w:cs="Calibri"/>
        </w:rPr>
        <w:t>č</w:t>
      </w:r>
      <w:r w:rsidRPr="006E2C89">
        <w:t>ju</w:t>
      </w:r>
      <w:r w:rsidR="000D3BD8">
        <w:t xml:space="preserve"> Elektra Maribora je v letu 2017 dosegla 10,9</w:t>
      </w:r>
      <w:r w:rsidR="00756DBD">
        <w:t xml:space="preserve"> MWh, kar je enako kot na območju Gornje Radgone.</w:t>
      </w:r>
      <w:r w:rsidR="003F646C">
        <w:t xml:space="preserve"> </w:t>
      </w:r>
    </w:p>
    <w:p w:rsidR="003F646C" w:rsidRDefault="003F646C" w:rsidP="00874AFE">
      <w:pPr>
        <w:spacing w:after="0" w:line="240" w:lineRule="auto"/>
        <w:jc w:val="both"/>
      </w:pPr>
    </w:p>
    <w:p w:rsidR="00874AFE" w:rsidRDefault="003F646C" w:rsidP="00874AFE">
      <w:pPr>
        <w:spacing w:after="0" w:line="240" w:lineRule="auto"/>
        <w:jc w:val="both"/>
      </w:pPr>
      <w:r>
        <w:t>Območje OE Gornja Radgona dosega drugo najvišjo vrednost</w:t>
      </w:r>
      <w:r w:rsidR="00107A14">
        <w:t xml:space="preserve"> prevzete energije na uporabnika</w:t>
      </w:r>
      <w:r>
        <w:t xml:space="preserve">. </w:t>
      </w:r>
    </w:p>
    <w:p w:rsidR="00D2057D" w:rsidRPr="006E2C89" w:rsidRDefault="00D2057D" w:rsidP="00874AFE">
      <w:pPr>
        <w:spacing w:after="0" w:line="240" w:lineRule="auto"/>
        <w:jc w:val="both"/>
      </w:pPr>
    </w:p>
    <w:p w:rsidR="00C90B88" w:rsidRPr="00247832" w:rsidRDefault="00C77A18" w:rsidP="00551EA7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sl-SI"/>
        </w:rPr>
        <w:drawing>
          <wp:inline distT="0" distB="0" distL="0" distR="0" wp14:anchorId="2753296C" wp14:editId="1FFB06A8">
            <wp:extent cx="5619750" cy="3124200"/>
            <wp:effectExtent l="0" t="0" r="0" b="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B88" w:rsidRDefault="00C90B88" w:rsidP="00551EA7">
      <w:pPr>
        <w:spacing w:after="0" w:line="240" w:lineRule="auto"/>
        <w:jc w:val="both"/>
        <w:rPr>
          <w:highlight w:val="yellow"/>
        </w:rPr>
      </w:pPr>
    </w:p>
    <w:sectPr w:rsidR="00C90B8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F7" w:rsidRDefault="00C35EF7" w:rsidP="001D0E69">
      <w:pPr>
        <w:spacing w:after="0" w:line="240" w:lineRule="auto"/>
      </w:pPr>
      <w:r>
        <w:separator/>
      </w:r>
    </w:p>
  </w:endnote>
  <w:endnote w:type="continuationSeparator" w:id="0">
    <w:p w:rsidR="00C35EF7" w:rsidRDefault="00C35EF7" w:rsidP="001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78828"/>
      <w:docPartObj>
        <w:docPartGallery w:val="Page Numbers (Bottom of Page)"/>
        <w:docPartUnique/>
      </w:docPartObj>
    </w:sdtPr>
    <w:sdtEndPr/>
    <w:sdtContent>
      <w:p w:rsidR="00DE7204" w:rsidRDefault="00DE72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8C1">
          <w:rPr>
            <w:noProof/>
          </w:rPr>
          <w:t>2</w:t>
        </w:r>
        <w:r>
          <w:fldChar w:fldCharType="end"/>
        </w:r>
      </w:p>
    </w:sdtContent>
  </w:sdt>
  <w:p w:rsidR="001D0E69" w:rsidRDefault="001D0E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F7" w:rsidRDefault="00C35EF7" w:rsidP="001D0E69">
      <w:pPr>
        <w:spacing w:after="0" w:line="240" w:lineRule="auto"/>
      </w:pPr>
      <w:r>
        <w:separator/>
      </w:r>
    </w:p>
  </w:footnote>
  <w:footnote w:type="continuationSeparator" w:id="0">
    <w:p w:rsidR="00C35EF7" w:rsidRDefault="00C35EF7" w:rsidP="001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973"/>
    <w:multiLevelType w:val="hybridMultilevel"/>
    <w:tmpl w:val="31DE7820"/>
    <w:lvl w:ilvl="0" w:tplc="242E3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A4"/>
    <w:rsid w:val="00003ADE"/>
    <w:rsid w:val="0001337D"/>
    <w:rsid w:val="000223AE"/>
    <w:rsid w:val="0002307E"/>
    <w:rsid w:val="00030438"/>
    <w:rsid w:val="00033080"/>
    <w:rsid w:val="00056BEB"/>
    <w:rsid w:val="00056C7C"/>
    <w:rsid w:val="00061FCE"/>
    <w:rsid w:val="00072838"/>
    <w:rsid w:val="00092DED"/>
    <w:rsid w:val="000A627D"/>
    <w:rsid w:val="000A750A"/>
    <w:rsid w:val="000B247F"/>
    <w:rsid w:val="000B2F30"/>
    <w:rsid w:val="000B547D"/>
    <w:rsid w:val="000D3BD8"/>
    <w:rsid w:val="000E0E3F"/>
    <w:rsid w:val="000F5DEF"/>
    <w:rsid w:val="00104721"/>
    <w:rsid w:val="00107A14"/>
    <w:rsid w:val="00107D0C"/>
    <w:rsid w:val="00126377"/>
    <w:rsid w:val="00126BDB"/>
    <w:rsid w:val="001330AC"/>
    <w:rsid w:val="00133E86"/>
    <w:rsid w:val="00140592"/>
    <w:rsid w:val="001511DE"/>
    <w:rsid w:val="001747C5"/>
    <w:rsid w:val="00176F46"/>
    <w:rsid w:val="001806C5"/>
    <w:rsid w:val="00193567"/>
    <w:rsid w:val="001A0314"/>
    <w:rsid w:val="001A17DE"/>
    <w:rsid w:val="001B58DA"/>
    <w:rsid w:val="001C22FE"/>
    <w:rsid w:val="001C5799"/>
    <w:rsid w:val="001C620F"/>
    <w:rsid w:val="001D0E69"/>
    <w:rsid w:val="001F0036"/>
    <w:rsid w:val="002028B2"/>
    <w:rsid w:val="00210A71"/>
    <w:rsid w:val="00214CF0"/>
    <w:rsid w:val="00216992"/>
    <w:rsid w:val="002255AB"/>
    <w:rsid w:val="00247832"/>
    <w:rsid w:val="00250DE1"/>
    <w:rsid w:val="00257055"/>
    <w:rsid w:val="00257EB6"/>
    <w:rsid w:val="0026084A"/>
    <w:rsid w:val="00266515"/>
    <w:rsid w:val="002705C9"/>
    <w:rsid w:val="002A35CE"/>
    <w:rsid w:val="002A3AF6"/>
    <w:rsid w:val="002A444F"/>
    <w:rsid w:val="002C0542"/>
    <w:rsid w:val="002D1B44"/>
    <w:rsid w:val="002E19C0"/>
    <w:rsid w:val="002E3DB6"/>
    <w:rsid w:val="002F13EF"/>
    <w:rsid w:val="00301065"/>
    <w:rsid w:val="003018C9"/>
    <w:rsid w:val="003126CE"/>
    <w:rsid w:val="0032165E"/>
    <w:rsid w:val="003239D4"/>
    <w:rsid w:val="00326809"/>
    <w:rsid w:val="00332FBD"/>
    <w:rsid w:val="00333D4C"/>
    <w:rsid w:val="00335DB7"/>
    <w:rsid w:val="00342224"/>
    <w:rsid w:val="003446B7"/>
    <w:rsid w:val="00345825"/>
    <w:rsid w:val="00346843"/>
    <w:rsid w:val="00361B76"/>
    <w:rsid w:val="0036262A"/>
    <w:rsid w:val="00366F2C"/>
    <w:rsid w:val="00371AE3"/>
    <w:rsid w:val="00374B35"/>
    <w:rsid w:val="00382F1D"/>
    <w:rsid w:val="00385392"/>
    <w:rsid w:val="003931C7"/>
    <w:rsid w:val="003A03E3"/>
    <w:rsid w:val="003A723F"/>
    <w:rsid w:val="003B7766"/>
    <w:rsid w:val="003B7D26"/>
    <w:rsid w:val="003C1464"/>
    <w:rsid w:val="003C1C2A"/>
    <w:rsid w:val="003C7EDE"/>
    <w:rsid w:val="003D6BE4"/>
    <w:rsid w:val="003F2BBA"/>
    <w:rsid w:val="003F646C"/>
    <w:rsid w:val="0040078A"/>
    <w:rsid w:val="00401078"/>
    <w:rsid w:val="00402E52"/>
    <w:rsid w:val="00405C9A"/>
    <w:rsid w:val="00407387"/>
    <w:rsid w:val="00426B8F"/>
    <w:rsid w:val="00441FCB"/>
    <w:rsid w:val="00470BC3"/>
    <w:rsid w:val="00475247"/>
    <w:rsid w:val="0048269D"/>
    <w:rsid w:val="00483069"/>
    <w:rsid w:val="00485B76"/>
    <w:rsid w:val="0048636C"/>
    <w:rsid w:val="004A5810"/>
    <w:rsid w:val="004B31E9"/>
    <w:rsid w:val="004C4646"/>
    <w:rsid w:val="004D0F97"/>
    <w:rsid w:val="004D3BDB"/>
    <w:rsid w:val="004D7573"/>
    <w:rsid w:val="004E352A"/>
    <w:rsid w:val="004E697C"/>
    <w:rsid w:val="004F753F"/>
    <w:rsid w:val="0050217C"/>
    <w:rsid w:val="0051548C"/>
    <w:rsid w:val="00517BE7"/>
    <w:rsid w:val="0053352F"/>
    <w:rsid w:val="00551EA7"/>
    <w:rsid w:val="00553C64"/>
    <w:rsid w:val="00561935"/>
    <w:rsid w:val="00563CC7"/>
    <w:rsid w:val="005858E1"/>
    <w:rsid w:val="00586248"/>
    <w:rsid w:val="005869F8"/>
    <w:rsid w:val="00592181"/>
    <w:rsid w:val="005927B2"/>
    <w:rsid w:val="00597BD9"/>
    <w:rsid w:val="005B09E9"/>
    <w:rsid w:val="005F5E38"/>
    <w:rsid w:val="0060698E"/>
    <w:rsid w:val="00642AB2"/>
    <w:rsid w:val="00646E6C"/>
    <w:rsid w:val="00653C3E"/>
    <w:rsid w:val="0066761B"/>
    <w:rsid w:val="00673BF4"/>
    <w:rsid w:val="00673CB1"/>
    <w:rsid w:val="00674C53"/>
    <w:rsid w:val="00676193"/>
    <w:rsid w:val="00690123"/>
    <w:rsid w:val="006A0BDE"/>
    <w:rsid w:val="006A2AE6"/>
    <w:rsid w:val="006B548A"/>
    <w:rsid w:val="006C0C07"/>
    <w:rsid w:val="006C3125"/>
    <w:rsid w:val="006D2BEE"/>
    <w:rsid w:val="006D73C8"/>
    <w:rsid w:val="006E2C89"/>
    <w:rsid w:val="006F094F"/>
    <w:rsid w:val="006F0A67"/>
    <w:rsid w:val="006F1E47"/>
    <w:rsid w:val="00710468"/>
    <w:rsid w:val="00711F12"/>
    <w:rsid w:val="00722225"/>
    <w:rsid w:val="0072586E"/>
    <w:rsid w:val="00740EAD"/>
    <w:rsid w:val="0074739A"/>
    <w:rsid w:val="007523AB"/>
    <w:rsid w:val="00755A49"/>
    <w:rsid w:val="00756DBD"/>
    <w:rsid w:val="007644A7"/>
    <w:rsid w:val="00767D68"/>
    <w:rsid w:val="007815EC"/>
    <w:rsid w:val="0079122C"/>
    <w:rsid w:val="007931F6"/>
    <w:rsid w:val="007948EF"/>
    <w:rsid w:val="00797115"/>
    <w:rsid w:val="007A17DD"/>
    <w:rsid w:val="007A4B17"/>
    <w:rsid w:val="007B30BA"/>
    <w:rsid w:val="007D0F8B"/>
    <w:rsid w:val="007D5FF0"/>
    <w:rsid w:val="007D6E70"/>
    <w:rsid w:val="007E00BC"/>
    <w:rsid w:val="007E2CC6"/>
    <w:rsid w:val="00800A7F"/>
    <w:rsid w:val="0081512D"/>
    <w:rsid w:val="00820561"/>
    <w:rsid w:val="00821298"/>
    <w:rsid w:val="0084446E"/>
    <w:rsid w:val="008549E6"/>
    <w:rsid w:val="00855278"/>
    <w:rsid w:val="008617A2"/>
    <w:rsid w:val="00864B47"/>
    <w:rsid w:val="00874AFE"/>
    <w:rsid w:val="0088158E"/>
    <w:rsid w:val="00882024"/>
    <w:rsid w:val="00884F6E"/>
    <w:rsid w:val="008A169D"/>
    <w:rsid w:val="008C19DD"/>
    <w:rsid w:val="008D320D"/>
    <w:rsid w:val="008E1360"/>
    <w:rsid w:val="008E4558"/>
    <w:rsid w:val="008F1C27"/>
    <w:rsid w:val="008F35EE"/>
    <w:rsid w:val="00900ECC"/>
    <w:rsid w:val="00906E02"/>
    <w:rsid w:val="00916959"/>
    <w:rsid w:val="009320A9"/>
    <w:rsid w:val="00933F7D"/>
    <w:rsid w:val="0093597E"/>
    <w:rsid w:val="0094293E"/>
    <w:rsid w:val="00944266"/>
    <w:rsid w:val="0095367D"/>
    <w:rsid w:val="0095575A"/>
    <w:rsid w:val="0097031D"/>
    <w:rsid w:val="00972483"/>
    <w:rsid w:val="0098276C"/>
    <w:rsid w:val="00991023"/>
    <w:rsid w:val="009A5E54"/>
    <w:rsid w:val="009A607E"/>
    <w:rsid w:val="009A6E5B"/>
    <w:rsid w:val="009B564D"/>
    <w:rsid w:val="009F022F"/>
    <w:rsid w:val="00A02FA0"/>
    <w:rsid w:val="00A077D6"/>
    <w:rsid w:val="00A151DB"/>
    <w:rsid w:val="00A35B81"/>
    <w:rsid w:val="00A40D70"/>
    <w:rsid w:val="00A80944"/>
    <w:rsid w:val="00A90B20"/>
    <w:rsid w:val="00A94A7B"/>
    <w:rsid w:val="00AA266C"/>
    <w:rsid w:val="00AB6D25"/>
    <w:rsid w:val="00AD2BFA"/>
    <w:rsid w:val="00AD449C"/>
    <w:rsid w:val="00AD6BEA"/>
    <w:rsid w:val="00AE386B"/>
    <w:rsid w:val="00AE3918"/>
    <w:rsid w:val="00AE6AA3"/>
    <w:rsid w:val="00B06D17"/>
    <w:rsid w:val="00B21A7C"/>
    <w:rsid w:val="00B24162"/>
    <w:rsid w:val="00B25F14"/>
    <w:rsid w:val="00B36460"/>
    <w:rsid w:val="00B37AB1"/>
    <w:rsid w:val="00B611AB"/>
    <w:rsid w:val="00B71491"/>
    <w:rsid w:val="00B748BB"/>
    <w:rsid w:val="00B7584B"/>
    <w:rsid w:val="00B82E5F"/>
    <w:rsid w:val="00B96973"/>
    <w:rsid w:val="00BA0A73"/>
    <w:rsid w:val="00BA33C9"/>
    <w:rsid w:val="00BA6B23"/>
    <w:rsid w:val="00BB14B9"/>
    <w:rsid w:val="00BB1966"/>
    <w:rsid w:val="00BB45B2"/>
    <w:rsid w:val="00BC07E2"/>
    <w:rsid w:val="00BC558F"/>
    <w:rsid w:val="00BD30A7"/>
    <w:rsid w:val="00BD3DF7"/>
    <w:rsid w:val="00BD4EDC"/>
    <w:rsid w:val="00BE2181"/>
    <w:rsid w:val="00C02319"/>
    <w:rsid w:val="00C02A35"/>
    <w:rsid w:val="00C03716"/>
    <w:rsid w:val="00C03FC1"/>
    <w:rsid w:val="00C0576A"/>
    <w:rsid w:val="00C070BC"/>
    <w:rsid w:val="00C25895"/>
    <w:rsid w:val="00C25953"/>
    <w:rsid w:val="00C26C45"/>
    <w:rsid w:val="00C26C4D"/>
    <w:rsid w:val="00C31A77"/>
    <w:rsid w:val="00C35EF7"/>
    <w:rsid w:val="00C360DB"/>
    <w:rsid w:val="00C61007"/>
    <w:rsid w:val="00C751C3"/>
    <w:rsid w:val="00C75F38"/>
    <w:rsid w:val="00C77A18"/>
    <w:rsid w:val="00C83482"/>
    <w:rsid w:val="00C856B5"/>
    <w:rsid w:val="00C90B88"/>
    <w:rsid w:val="00CB37C4"/>
    <w:rsid w:val="00CB76D4"/>
    <w:rsid w:val="00CC1B3E"/>
    <w:rsid w:val="00CC1C26"/>
    <w:rsid w:val="00CC4212"/>
    <w:rsid w:val="00CD4BFD"/>
    <w:rsid w:val="00CF046E"/>
    <w:rsid w:val="00CF5712"/>
    <w:rsid w:val="00CF58A3"/>
    <w:rsid w:val="00CF6D9F"/>
    <w:rsid w:val="00D048A5"/>
    <w:rsid w:val="00D16670"/>
    <w:rsid w:val="00D2057D"/>
    <w:rsid w:val="00D218C1"/>
    <w:rsid w:val="00D42E60"/>
    <w:rsid w:val="00D572DD"/>
    <w:rsid w:val="00D574D7"/>
    <w:rsid w:val="00D7164E"/>
    <w:rsid w:val="00D762A9"/>
    <w:rsid w:val="00D84944"/>
    <w:rsid w:val="00D85CC3"/>
    <w:rsid w:val="00DC0F16"/>
    <w:rsid w:val="00DC1F69"/>
    <w:rsid w:val="00DC42BA"/>
    <w:rsid w:val="00DD6DF9"/>
    <w:rsid w:val="00DE7204"/>
    <w:rsid w:val="00E00158"/>
    <w:rsid w:val="00E0486B"/>
    <w:rsid w:val="00E12C3D"/>
    <w:rsid w:val="00E31FC5"/>
    <w:rsid w:val="00E37C99"/>
    <w:rsid w:val="00E37EA7"/>
    <w:rsid w:val="00E4121C"/>
    <w:rsid w:val="00E416BF"/>
    <w:rsid w:val="00E4578E"/>
    <w:rsid w:val="00E46AB3"/>
    <w:rsid w:val="00E574AF"/>
    <w:rsid w:val="00E601B5"/>
    <w:rsid w:val="00E655B1"/>
    <w:rsid w:val="00E8465A"/>
    <w:rsid w:val="00E97E56"/>
    <w:rsid w:val="00EB038C"/>
    <w:rsid w:val="00EB30F2"/>
    <w:rsid w:val="00EC3CD2"/>
    <w:rsid w:val="00EC5EF6"/>
    <w:rsid w:val="00ED2DFF"/>
    <w:rsid w:val="00ED5570"/>
    <w:rsid w:val="00EE3350"/>
    <w:rsid w:val="00EE559B"/>
    <w:rsid w:val="00EF4760"/>
    <w:rsid w:val="00EF687D"/>
    <w:rsid w:val="00F03AAB"/>
    <w:rsid w:val="00F075D2"/>
    <w:rsid w:val="00F17C70"/>
    <w:rsid w:val="00F20EB6"/>
    <w:rsid w:val="00F228A3"/>
    <w:rsid w:val="00F31D21"/>
    <w:rsid w:val="00F37CAB"/>
    <w:rsid w:val="00F4257F"/>
    <w:rsid w:val="00F45AA4"/>
    <w:rsid w:val="00F50D9A"/>
    <w:rsid w:val="00F74302"/>
    <w:rsid w:val="00F75B69"/>
    <w:rsid w:val="00F8382D"/>
    <w:rsid w:val="00F91A99"/>
    <w:rsid w:val="00F964AC"/>
    <w:rsid w:val="00FB5E2A"/>
    <w:rsid w:val="00FC2D9D"/>
    <w:rsid w:val="00FD13E3"/>
    <w:rsid w:val="00FE19D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CF574"/>
  <w15:docId w15:val="{0D8991B2-6051-4686-82C6-76C97E6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3F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F5D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AA4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0F5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0F5DEF"/>
    <w:rPr>
      <w:b/>
      <w:bCs/>
      <w:i w:val="0"/>
      <w:iCs w:val="0"/>
    </w:rPr>
  </w:style>
  <w:style w:type="character" w:customStyle="1" w:styleId="st">
    <w:name w:val="st"/>
    <w:basedOn w:val="Privzetapisavaodstavka"/>
    <w:rsid w:val="000F5DEF"/>
  </w:style>
  <w:style w:type="character" w:styleId="Pripombasklic">
    <w:name w:val="annotation reference"/>
    <w:basedOn w:val="Privzetapisavaodstavka"/>
    <w:uiPriority w:val="99"/>
    <w:semiHidden/>
    <w:unhideWhenUsed/>
    <w:rsid w:val="003C7E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E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E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E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ED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E69"/>
  </w:style>
  <w:style w:type="paragraph" w:styleId="Noga">
    <w:name w:val="footer"/>
    <w:basedOn w:val="Navaden"/>
    <w:link w:val="Nog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E69"/>
  </w:style>
  <w:style w:type="table" w:styleId="Tabelamrea">
    <w:name w:val="Table Grid"/>
    <w:basedOn w:val="Navadnatabela"/>
    <w:uiPriority w:val="59"/>
    <w:rsid w:val="009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3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ADE"/>
    <w:rPr>
      <w:color w:val="800080" w:themeColor="followedHyperlink"/>
      <w:u w:val="single"/>
    </w:rPr>
  </w:style>
  <w:style w:type="paragraph" w:styleId="Odstavekseznama">
    <w:name w:val="List Paragraph"/>
    <w:aliases w:val="UEDAŞ Bullet,abc siralı"/>
    <w:basedOn w:val="Navaden"/>
    <w:link w:val="OdstavekseznamaZnak"/>
    <w:uiPriority w:val="34"/>
    <w:qFormat/>
    <w:rsid w:val="00C77A18"/>
    <w:pPr>
      <w:spacing w:after="0" w:line="192" w:lineRule="atLeast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OdstavekseznamaZnak">
    <w:name w:val="Odstavek seznama Znak"/>
    <w:aliases w:val="UEDAŞ Bullet Znak,abc siralı Znak"/>
    <w:link w:val="Odstavekseznama"/>
    <w:uiPriority w:val="34"/>
    <w:rsid w:val="00C77A1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em3621\Desktop\Nova%20mapa\Distribuirana%20ee%202005-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3621\Desktop\Nova%20mapa\Distribuirana%20ee%202005-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3621\Desktop\Nova%20mapa\Distribuirana%20ee%202005-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Konična obremenitev na območju OE Gornja Radgona </a:t>
            </a:r>
            <a:r>
              <a:rPr lang="en-US"/>
              <a:t>[MW]</a:t>
            </a:r>
            <a:endParaRPr lang="sl-SI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'konična moč po OE'!$A$5</c:f>
              <c:strCache>
                <c:ptCount val="1"/>
                <c:pt idx="0">
                  <c:v>OE Gornja Radgona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'konična moč po OE'!$B$1:$N$1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'konična moč po OE'!$B$5:$N$5</c:f>
              <c:numCache>
                <c:formatCode>0</c:formatCode>
                <c:ptCount val="13"/>
                <c:pt idx="0">
                  <c:v>39.932600000000001</c:v>
                </c:pt>
                <c:pt idx="1">
                  <c:v>38.996679687499999</c:v>
                </c:pt>
                <c:pt idx="2">
                  <c:v>39.309399999999997</c:v>
                </c:pt>
                <c:pt idx="3">
                  <c:v>39.932600000000001</c:v>
                </c:pt>
                <c:pt idx="4">
                  <c:v>41.487299999999998</c:v>
                </c:pt>
                <c:pt idx="5">
                  <c:v>45.2166</c:v>
                </c:pt>
                <c:pt idx="6">
                  <c:v>44.798000000000002</c:v>
                </c:pt>
                <c:pt idx="7">
                  <c:v>44.514000000000003</c:v>
                </c:pt>
                <c:pt idx="8">
                  <c:v>36.762999999999998</c:v>
                </c:pt>
                <c:pt idx="9">
                  <c:v>36.568049999999999</c:v>
                </c:pt>
                <c:pt idx="10">
                  <c:v>37</c:v>
                </c:pt>
                <c:pt idx="11">
                  <c:v>41</c:v>
                </c:pt>
                <c:pt idx="1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92-4232-B206-31A37BC36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1716840"/>
        <c:axId val="491715856"/>
      </c:barChart>
      <c:catAx>
        <c:axId val="491716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91715856"/>
        <c:crosses val="autoZero"/>
        <c:auto val="1"/>
        <c:lblAlgn val="ctr"/>
        <c:lblOffset val="100"/>
        <c:noMultiLvlLbl val="0"/>
      </c:catAx>
      <c:valAx>
        <c:axId val="49171585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Konična moč</a:t>
                </a:r>
              </a:p>
              <a:p>
                <a:pPr>
                  <a:defRPr/>
                </a:pPr>
                <a:r>
                  <a:rPr lang="sl-SI"/>
                  <a:t>[MW]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91716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Distribuirana električna energija </a:t>
            </a:r>
            <a:endParaRPr lang="sl-SI"/>
          </a:p>
          <a:p>
            <a:pPr>
              <a:defRPr/>
            </a:pPr>
            <a:r>
              <a:rPr lang="en-US"/>
              <a:t>na območju OE</a:t>
            </a:r>
            <a:r>
              <a:rPr lang="sl-SI"/>
              <a:t> Gornja Radgona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'Poraba po OE 2005-2017'!$A$5</c:f>
              <c:strCache>
                <c:ptCount val="1"/>
                <c:pt idx="0">
                  <c:v>OE Gornja Radgona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'Poraba po OE 2005-2017'!$B$1:$N$1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'Poraba po OE 2005-2017'!$B$5:$N$5</c:f>
              <c:numCache>
                <c:formatCode>#,##0</c:formatCode>
                <c:ptCount val="13"/>
                <c:pt idx="0">
                  <c:v>169499.65299999999</c:v>
                </c:pt>
                <c:pt idx="1">
                  <c:v>163768.72200000001</c:v>
                </c:pt>
                <c:pt idx="2">
                  <c:v>171079.20199999999</c:v>
                </c:pt>
                <c:pt idx="3">
                  <c:v>178242.25700000001</c:v>
                </c:pt>
                <c:pt idx="4">
                  <c:v>169966.77799999999</c:v>
                </c:pt>
                <c:pt idx="5">
                  <c:v>173789.245</c:v>
                </c:pt>
                <c:pt idx="6">
                  <c:v>175967.633</c:v>
                </c:pt>
                <c:pt idx="7">
                  <c:v>174371.00599999999</c:v>
                </c:pt>
                <c:pt idx="8">
                  <c:v>173758.696</c:v>
                </c:pt>
                <c:pt idx="9">
                  <c:v>172204.348</c:v>
                </c:pt>
                <c:pt idx="10">
                  <c:v>175514.69399999999</c:v>
                </c:pt>
                <c:pt idx="11">
                  <c:v>183432.804</c:v>
                </c:pt>
                <c:pt idx="12">
                  <c:v>190050.785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E-4681-B4A2-7BD236C9F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626560"/>
        <c:axId val="30628096"/>
      </c:barChart>
      <c:catAx>
        <c:axId val="30626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0628096"/>
        <c:crosses val="autoZero"/>
        <c:auto val="1"/>
        <c:lblAlgn val="ctr"/>
        <c:lblOffset val="100"/>
        <c:noMultiLvlLbl val="0"/>
      </c:catAx>
      <c:valAx>
        <c:axId val="3062809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Distribuirana energija</a:t>
                </a:r>
              </a:p>
              <a:p>
                <a:pPr>
                  <a:defRPr cap="none" baseline="0"/>
                </a:pPr>
                <a:r>
                  <a:rPr lang="sl-SI" cap="none" baseline="0"/>
                  <a:t>[GWh]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062656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Prevzeta e</a:t>
            </a:r>
            <a:r>
              <a:rPr lang="sl-SI"/>
              <a:t>lektrična energija </a:t>
            </a:r>
            <a:r>
              <a:rPr lang="en-US"/>
              <a:t>na </a:t>
            </a:r>
            <a:r>
              <a:rPr lang="sl-SI"/>
              <a:t>merilno mesto v letu 2017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'Skupna prevzeta ee po OE'!$C$10</c:f>
              <c:strCache>
                <c:ptCount val="1"/>
                <c:pt idx="0">
                  <c:v>Energija v MWh / merilno mesto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33-42B6-80FF-1F0DEDF911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'Skupna prevzeta ee po OE'!$A$11:$A$16</c:f>
              <c:strCache>
                <c:ptCount val="6"/>
                <c:pt idx="0">
                  <c:v>OE Maribor z okolico</c:v>
                </c:pt>
                <c:pt idx="1">
                  <c:v>OE Slovenska Bistrica</c:v>
                </c:pt>
                <c:pt idx="2">
                  <c:v>OE Ptuj</c:v>
                </c:pt>
                <c:pt idx="3">
                  <c:v>OE Gornja Radgona</c:v>
                </c:pt>
                <c:pt idx="4">
                  <c:v>OE Murska Sobota</c:v>
                </c:pt>
                <c:pt idx="5">
                  <c:v>ELEKTRO MARIBOR</c:v>
                </c:pt>
              </c:strCache>
            </c:strRef>
          </c:cat>
          <c:val>
            <c:numRef>
              <c:f>'Skupna prevzeta ee po OE'!$C$11:$C$16</c:f>
              <c:numCache>
                <c:formatCode>0.0</c:formatCode>
                <c:ptCount val="6"/>
                <c:pt idx="0">
                  <c:v>10.539251732836149</c:v>
                </c:pt>
                <c:pt idx="1">
                  <c:v>15.560568184570668</c:v>
                </c:pt>
                <c:pt idx="2">
                  <c:v>8.7306373032429345</c:v>
                </c:pt>
                <c:pt idx="3">
                  <c:v>10.925649532224535</c:v>
                </c:pt>
                <c:pt idx="4">
                  <c:v>9.9398906395063094</c:v>
                </c:pt>
                <c:pt idx="5">
                  <c:v>10.92901288361654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33-42B6-80FF-1F0DEDF91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7103880"/>
        <c:axId val="427105192"/>
      </c:barChart>
      <c:catAx>
        <c:axId val="427103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7105192"/>
        <c:crosses val="autoZero"/>
        <c:auto val="1"/>
        <c:lblAlgn val="ctr"/>
        <c:lblOffset val="100"/>
        <c:noMultiLvlLbl val="0"/>
      </c:catAx>
      <c:valAx>
        <c:axId val="42710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Prevzeta energija </a:t>
                </a:r>
              </a:p>
              <a:p>
                <a:pPr>
                  <a:defRPr cap="none" baseline="0"/>
                </a:pPr>
                <a:r>
                  <a:rPr lang="sl-SI" cap="none" baseline="0"/>
                  <a:t>[MWh/merilno mesto]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7103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FA06-6571-41D3-B173-8DDEC127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Prešern Mitja</dc:creator>
  <cp:lastModifiedBy>Sovič Boris</cp:lastModifiedBy>
  <cp:revision>5</cp:revision>
  <cp:lastPrinted>2015-02-09T07:35:00Z</cp:lastPrinted>
  <dcterms:created xsi:type="dcterms:W3CDTF">2018-06-25T09:09:00Z</dcterms:created>
  <dcterms:modified xsi:type="dcterms:W3CDTF">2018-06-25T11:39:00Z</dcterms:modified>
</cp:coreProperties>
</file>