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3E" w:rsidRPr="00DC3578" w:rsidRDefault="00653C3E" w:rsidP="009E1D31">
      <w:pPr>
        <w:spacing w:after="0" w:line="240" w:lineRule="auto"/>
        <w:jc w:val="center"/>
        <w:rPr>
          <w:b/>
          <w:sz w:val="28"/>
        </w:rPr>
      </w:pPr>
      <w:r w:rsidRPr="00DC3578">
        <w:rPr>
          <w:b/>
          <w:color w:val="0070C0"/>
          <w:sz w:val="28"/>
        </w:rPr>
        <w:t>OSKRBA Z ELEKTRIČNO ENERGIJO</w:t>
      </w:r>
    </w:p>
    <w:p w:rsidR="003126CE" w:rsidRPr="00DC3578" w:rsidRDefault="003126CE" w:rsidP="009E1D31">
      <w:pPr>
        <w:spacing w:after="0" w:line="240" w:lineRule="auto"/>
        <w:jc w:val="center"/>
        <w:rPr>
          <w:b/>
          <w:sz w:val="24"/>
        </w:rPr>
      </w:pPr>
    </w:p>
    <w:p w:rsidR="00852D6B" w:rsidRPr="00DC3578" w:rsidRDefault="00852D6B" w:rsidP="009E1D31">
      <w:pPr>
        <w:tabs>
          <w:tab w:val="left" w:pos="2685"/>
          <w:tab w:val="center" w:pos="4536"/>
        </w:tabs>
        <w:spacing w:after="0" w:line="240" w:lineRule="auto"/>
        <w:jc w:val="center"/>
        <w:rPr>
          <w:b/>
          <w:color w:val="0070C0"/>
          <w:sz w:val="24"/>
        </w:rPr>
      </w:pPr>
      <w:r w:rsidRPr="00DC3578">
        <w:rPr>
          <w:b/>
          <w:color w:val="0070C0"/>
          <w:sz w:val="24"/>
        </w:rPr>
        <w:t xml:space="preserve">Območna enota </w:t>
      </w:r>
      <w:r w:rsidR="0008364D" w:rsidRPr="00DC3578">
        <w:rPr>
          <w:b/>
          <w:color w:val="0070C0"/>
          <w:sz w:val="24"/>
        </w:rPr>
        <w:t>Slovenska Bistrica</w:t>
      </w:r>
      <w:r w:rsidR="00A06046">
        <w:rPr>
          <w:b/>
          <w:color w:val="0070C0"/>
          <w:sz w:val="24"/>
        </w:rPr>
        <w:t xml:space="preserve"> v letu 2017</w:t>
      </w:r>
      <w:r w:rsidRPr="00DC3578">
        <w:rPr>
          <w:b/>
          <w:color w:val="0070C0"/>
          <w:sz w:val="24"/>
        </w:rPr>
        <w:t>:</w:t>
      </w:r>
    </w:p>
    <w:p w:rsidR="00852D6B" w:rsidRPr="00DC3578" w:rsidRDefault="0010633B" w:rsidP="009E1D31">
      <w:pPr>
        <w:spacing w:after="0" w:line="240" w:lineRule="auto"/>
        <w:jc w:val="center"/>
        <w:rPr>
          <w:b/>
          <w:color w:val="0070C0"/>
          <w:sz w:val="24"/>
        </w:rPr>
      </w:pPr>
      <w:r>
        <w:rPr>
          <w:b/>
          <w:color w:val="0070C0"/>
          <w:sz w:val="24"/>
        </w:rPr>
        <w:t>rekorden odjem</w:t>
      </w:r>
      <w:r w:rsidR="00EE1A2E">
        <w:rPr>
          <w:b/>
          <w:color w:val="0070C0"/>
          <w:sz w:val="24"/>
        </w:rPr>
        <w:t xml:space="preserve"> </w:t>
      </w:r>
      <w:r w:rsidR="00852D6B" w:rsidRPr="00DC3578">
        <w:rPr>
          <w:b/>
          <w:color w:val="0070C0"/>
          <w:sz w:val="24"/>
        </w:rPr>
        <w:t>in večja obračunska moč</w:t>
      </w:r>
    </w:p>
    <w:p w:rsidR="00126BDB" w:rsidRDefault="00126BDB" w:rsidP="009E1D31">
      <w:pPr>
        <w:spacing w:after="0" w:line="240" w:lineRule="auto"/>
        <w:jc w:val="both"/>
      </w:pPr>
    </w:p>
    <w:p w:rsidR="000842AC" w:rsidRPr="009F7124" w:rsidRDefault="000842AC" w:rsidP="009E1D31">
      <w:pPr>
        <w:spacing w:after="0" w:line="240" w:lineRule="auto"/>
        <w:jc w:val="both"/>
      </w:pPr>
    </w:p>
    <w:p w:rsidR="00AA2A26" w:rsidRPr="0048636C" w:rsidRDefault="00AA2A26" w:rsidP="00AA2A26">
      <w:pPr>
        <w:spacing w:after="0" w:line="240" w:lineRule="auto"/>
        <w:jc w:val="both"/>
        <w:rPr>
          <w:b/>
        </w:rPr>
      </w:pPr>
      <w:r w:rsidRPr="0048636C">
        <w:rPr>
          <w:b/>
        </w:rPr>
        <w:t>Družb</w:t>
      </w:r>
      <w:r>
        <w:rPr>
          <w:b/>
        </w:rPr>
        <w:t>a Elektro Maribor je v letu 2017</w:t>
      </w:r>
      <w:r w:rsidRPr="0048636C">
        <w:rPr>
          <w:b/>
        </w:rPr>
        <w:t xml:space="preserve"> distribuirala </w:t>
      </w:r>
      <w:r>
        <w:rPr>
          <w:b/>
          <w:bCs/>
        </w:rPr>
        <w:t>2.265</w:t>
      </w:r>
      <w:r w:rsidRPr="0048636C">
        <w:rPr>
          <w:b/>
          <w:bCs/>
        </w:rPr>
        <w:t xml:space="preserve"> GWh električne energije</w:t>
      </w:r>
      <w:r w:rsidRPr="0048636C">
        <w:rPr>
          <w:b/>
        </w:rPr>
        <w:t xml:space="preserve">, kar je za </w:t>
      </w:r>
      <w:r>
        <w:rPr>
          <w:b/>
          <w:bCs/>
        </w:rPr>
        <w:t>2,6 % več kot v letu 2016 (2.208</w:t>
      </w:r>
      <w:r w:rsidRPr="0048636C">
        <w:rPr>
          <w:b/>
          <w:bCs/>
        </w:rPr>
        <w:t xml:space="preserve"> GWh)</w:t>
      </w:r>
      <w:r w:rsidRPr="0048636C">
        <w:rPr>
          <w:b/>
        </w:rPr>
        <w:t xml:space="preserve">. </w:t>
      </w:r>
      <w:r w:rsidR="0030482D" w:rsidRPr="009F7124">
        <w:rPr>
          <w:b/>
        </w:rPr>
        <w:t>N</w:t>
      </w:r>
      <w:r w:rsidR="00740EAD" w:rsidRPr="009F7124">
        <w:rPr>
          <w:b/>
        </w:rPr>
        <w:t xml:space="preserve">a področju Območne enote </w:t>
      </w:r>
      <w:r w:rsidR="0008364D" w:rsidRPr="009F7124">
        <w:rPr>
          <w:b/>
        </w:rPr>
        <w:t>Slovenska Bistrica</w:t>
      </w:r>
      <w:r w:rsidR="00CC4212" w:rsidRPr="009F7124">
        <w:rPr>
          <w:b/>
        </w:rPr>
        <w:t xml:space="preserve"> </w:t>
      </w:r>
      <w:r w:rsidR="0030482D" w:rsidRPr="009F7124">
        <w:rPr>
          <w:b/>
        </w:rPr>
        <w:t xml:space="preserve">pa </w:t>
      </w:r>
      <w:r w:rsidR="00370B49" w:rsidRPr="009F7124">
        <w:rPr>
          <w:b/>
        </w:rPr>
        <w:t>je bil</w:t>
      </w:r>
      <w:r w:rsidR="008C23E8">
        <w:rPr>
          <w:b/>
        </w:rPr>
        <w:t>a</w:t>
      </w:r>
      <w:r w:rsidR="00F326D6">
        <w:rPr>
          <w:b/>
        </w:rPr>
        <w:t xml:space="preserve"> v letu 2017</w:t>
      </w:r>
      <w:bookmarkStart w:id="0" w:name="_GoBack"/>
      <w:bookmarkEnd w:id="0"/>
      <w:r w:rsidR="00CC4212" w:rsidRPr="009F7124">
        <w:rPr>
          <w:b/>
        </w:rPr>
        <w:t xml:space="preserve"> </w:t>
      </w:r>
      <w:r w:rsidR="008C23E8">
        <w:rPr>
          <w:b/>
        </w:rPr>
        <w:t xml:space="preserve">za 2 MW višja konična obremenitev in </w:t>
      </w:r>
      <w:r w:rsidR="00CC4212" w:rsidRPr="009F7124">
        <w:rPr>
          <w:b/>
        </w:rPr>
        <w:t xml:space="preserve">distribuirane </w:t>
      </w:r>
      <w:r>
        <w:rPr>
          <w:b/>
        </w:rPr>
        <w:t>za 3</w:t>
      </w:r>
      <w:r w:rsidR="0030482D" w:rsidRPr="009F7124">
        <w:rPr>
          <w:b/>
        </w:rPr>
        <w:t xml:space="preserve"> % </w:t>
      </w:r>
      <w:r w:rsidR="00CC4212" w:rsidRPr="009F7124">
        <w:rPr>
          <w:b/>
        </w:rPr>
        <w:t>več</w:t>
      </w:r>
      <w:r w:rsidR="00740EAD" w:rsidRPr="009F7124">
        <w:rPr>
          <w:b/>
        </w:rPr>
        <w:t xml:space="preserve"> ele</w:t>
      </w:r>
      <w:r w:rsidR="00CC4212" w:rsidRPr="009F7124">
        <w:rPr>
          <w:b/>
        </w:rPr>
        <w:t>ktrične energi</w:t>
      </w:r>
      <w:r>
        <w:rPr>
          <w:b/>
        </w:rPr>
        <w:t xml:space="preserve">je kot v letu 2016. </w:t>
      </w:r>
      <w:r w:rsidRPr="009F7124">
        <w:rPr>
          <w:b/>
        </w:rPr>
        <w:t xml:space="preserve">Dosežena je bila rekordna vrednost </w:t>
      </w:r>
      <w:r w:rsidR="008C23E8">
        <w:rPr>
          <w:b/>
        </w:rPr>
        <w:t xml:space="preserve">konične obremenitve, obračunske moči in </w:t>
      </w:r>
      <w:r w:rsidRPr="009F7124">
        <w:rPr>
          <w:b/>
        </w:rPr>
        <w:t xml:space="preserve">odjema. </w:t>
      </w:r>
      <w:r w:rsidRPr="0048636C">
        <w:rPr>
          <w:b/>
        </w:rPr>
        <w:t xml:space="preserve">Rast obsega distribuirane električne energije je bila na območju Območne enote </w:t>
      </w:r>
      <w:r>
        <w:rPr>
          <w:b/>
        </w:rPr>
        <w:t>Slovenska Bistrica</w:t>
      </w:r>
      <w:r w:rsidRPr="0048636C">
        <w:rPr>
          <w:b/>
        </w:rPr>
        <w:t xml:space="preserve"> višja kot sicer na celotnem območju Elektro Maribor.</w:t>
      </w:r>
    </w:p>
    <w:p w:rsidR="00A40D70" w:rsidRPr="009F7124" w:rsidRDefault="00A40D70" w:rsidP="009E1D31">
      <w:pPr>
        <w:spacing w:after="0" w:line="240" w:lineRule="auto"/>
        <w:jc w:val="both"/>
        <w:rPr>
          <w:b/>
        </w:rPr>
      </w:pPr>
    </w:p>
    <w:p w:rsidR="009E1D31" w:rsidRPr="00084060" w:rsidRDefault="009E1D31" w:rsidP="009E1D31">
      <w:pPr>
        <w:spacing w:after="0" w:line="240" w:lineRule="auto"/>
        <w:jc w:val="both"/>
        <w:rPr>
          <w:highlight w:val="yellow"/>
        </w:rPr>
      </w:pPr>
    </w:p>
    <w:p w:rsidR="0008364D" w:rsidRPr="00CD3E63" w:rsidRDefault="00A40D70" w:rsidP="009E1D31">
      <w:pPr>
        <w:spacing w:after="0" w:line="240" w:lineRule="auto"/>
        <w:jc w:val="center"/>
        <w:rPr>
          <w:b/>
          <w:color w:val="0070C0"/>
        </w:rPr>
      </w:pPr>
      <w:r w:rsidRPr="00CD3E63">
        <w:rPr>
          <w:b/>
          <w:color w:val="0070C0"/>
        </w:rPr>
        <w:t xml:space="preserve">Območna enota </w:t>
      </w:r>
      <w:r w:rsidR="0008364D" w:rsidRPr="00CD3E63">
        <w:rPr>
          <w:b/>
          <w:color w:val="0070C0"/>
        </w:rPr>
        <w:t>Slovenska Bistrica</w:t>
      </w:r>
    </w:p>
    <w:p w:rsidR="00A40D70" w:rsidRPr="00CD3E63" w:rsidRDefault="00A40D70" w:rsidP="009E1D31">
      <w:pPr>
        <w:spacing w:after="0" w:line="240" w:lineRule="auto"/>
        <w:jc w:val="both"/>
      </w:pPr>
    </w:p>
    <w:p w:rsidR="008C23E8" w:rsidRDefault="004F5E20" w:rsidP="009E1D31">
      <w:pPr>
        <w:spacing w:after="0" w:line="240" w:lineRule="auto"/>
        <w:jc w:val="both"/>
      </w:pPr>
      <w:r w:rsidRPr="009F7124">
        <w:t xml:space="preserve">Območna enota </w:t>
      </w:r>
      <w:r w:rsidR="0008364D" w:rsidRPr="009F7124">
        <w:t>Slovenska Bistrica</w:t>
      </w:r>
      <w:r w:rsidRPr="009F7124">
        <w:t xml:space="preserve"> pokriva območje </w:t>
      </w:r>
      <w:r w:rsidR="00CD3E63" w:rsidRPr="009F7124">
        <w:t>12</w:t>
      </w:r>
      <w:r w:rsidRPr="009F7124">
        <w:t xml:space="preserve"> občin na </w:t>
      </w:r>
      <w:r w:rsidR="00CD3E63" w:rsidRPr="009F7124">
        <w:t>657</w:t>
      </w:r>
      <w:r w:rsidRPr="009F7124">
        <w:t xml:space="preserve"> km</w:t>
      </w:r>
      <w:r w:rsidRPr="009F7124">
        <w:rPr>
          <w:vertAlign w:val="superscript"/>
        </w:rPr>
        <w:t>2</w:t>
      </w:r>
      <w:r w:rsidRPr="009F7124">
        <w:t xml:space="preserve"> velikem področju. Oskrbuje 3</w:t>
      </w:r>
      <w:r w:rsidR="00AA2A26">
        <w:t>3.028</w:t>
      </w:r>
      <w:r w:rsidR="00F9180B" w:rsidRPr="009F7124">
        <w:t xml:space="preserve"> </w:t>
      </w:r>
      <w:r w:rsidR="0067025F">
        <w:t>uporabnikov</w:t>
      </w:r>
      <w:r w:rsidR="00CD3E63" w:rsidRPr="009F7124">
        <w:t>, kar predstavlja 15</w:t>
      </w:r>
      <w:r w:rsidRPr="009F7124">
        <w:t xml:space="preserve"> % vseh </w:t>
      </w:r>
      <w:r w:rsidR="0067025F">
        <w:t>uporabnikov družbe</w:t>
      </w:r>
      <w:r w:rsidRPr="009F7124">
        <w:t xml:space="preserve"> Elektr</w:t>
      </w:r>
      <w:r w:rsidR="0067025F">
        <w:t>o</w:t>
      </w:r>
      <w:r w:rsidRPr="009F7124">
        <w:t xml:space="preserve"> Maribor, in ima skoraj 2.</w:t>
      </w:r>
      <w:r w:rsidR="00CD3E63" w:rsidRPr="009F7124">
        <w:t>87</w:t>
      </w:r>
      <w:r w:rsidRPr="009F7124">
        <w:t>0 km oziroma 17 % skupne dolžine elektrodistribucijskega omrežja.</w:t>
      </w:r>
      <w:r w:rsidR="008C23E8">
        <w:t xml:space="preserve"> Za to območno enoto je značilna večja razpršenost poseljenosti (za oskrbo 15 % uporabnikov je potrebno 17 % omrežja), kot sicer na območju Elektro Maribor.</w:t>
      </w:r>
    </w:p>
    <w:p w:rsidR="001C380E" w:rsidRPr="00825039" w:rsidRDefault="001C380E" w:rsidP="009E1D31">
      <w:pPr>
        <w:spacing w:after="0" w:line="240" w:lineRule="auto"/>
        <w:jc w:val="both"/>
      </w:pPr>
    </w:p>
    <w:p w:rsidR="00A40D70" w:rsidRPr="00825039" w:rsidRDefault="00A40D70" w:rsidP="009E1D31">
      <w:pPr>
        <w:spacing w:after="0" w:line="240" w:lineRule="auto"/>
        <w:jc w:val="center"/>
      </w:pPr>
      <w:r w:rsidRPr="00825039">
        <w:rPr>
          <w:noProof/>
          <w:lang w:eastAsia="sl-SI"/>
        </w:rPr>
        <w:drawing>
          <wp:inline distT="0" distB="0" distL="0" distR="0" wp14:anchorId="088192F4" wp14:editId="6DEF5BE7">
            <wp:extent cx="4899804" cy="3078656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8337" cy="3077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7A5" w:rsidRDefault="002527A5" w:rsidP="009E1D31">
      <w:pPr>
        <w:spacing w:after="0" w:line="240" w:lineRule="auto"/>
        <w:jc w:val="both"/>
      </w:pPr>
    </w:p>
    <w:p w:rsidR="00986EA2" w:rsidRPr="00825039" w:rsidRDefault="00986EA2" w:rsidP="009E1D31">
      <w:pPr>
        <w:spacing w:after="0" w:line="240" w:lineRule="auto"/>
        <w:jc w:val="both"/>
      </w:pPr>
    </w:p>
    <w:p w:rsidR="0067025F" w:rsidRPr="0008364D" w:rsidRDefault="0067025F" w:rsidP="0067025F">
      <w:pPr>
        <w:spacing w:after="0" w:line="240" w:lineRule="auto"/>
        <w:jc w:val="center"/>
        <w:rPr>
          <w:b/>
          <w:color w:val="0070C0"/>
        </w:rPr>
      </w:pPr>
      <w:r w:rsidRPr="0008364D">
        <w:rPr>
          <w:b/>
          <w:color w:val="0070C0"/>
        </w:rPr>
        <w:t>Konična moč</w:t>
      </w:r>
    </w:p>
    <w:p w:rsidR="0067025F" w:rsidRPr="00084060" w:rsidRDefault="0067025F" w:rsidP="0067025F">
      <w:pPr>
        <w:spacing w:after="0" w:line="240" w:lineRule="auto"/>
        <w:jc w:val="both"/>
        <w:rPr>
          <w:highlight w:val="yellow"/>
        </w:rPr>
      </w:pPr>
    </w:p>
    <w:p w:rsidR="0067025F" w:rsidRDefault="0067025F" w:rsidP="0067025F">
      <w:pPr>
        <w:spacing w:after="0" w:line="240" w:lineRule="auto"/>
        <w:jc w:val="both"/>
      </w:pPr>
      <w:r w:rsidRPr="000C63F1">
        <w:t>Konična moč distribucijskega sistema Elektro Maribor je bila v letu 201</w:t>
      </w:r>
      <w:r>
        <w:t>7</w:t>
      </w:r>
      <w:r w:rsidRPr="000C63F1">
        <w:t xml:space="preserve"> najvišja v mesecu </w:t>
      </w:r>
      <w:r>
        <w:t xml:space="preserve">januarju </w:t>
      </w:r>
      <w:r w:rsidRPr="000C63F1">
        <w:t xml:space="preserve">in </w:t>
      </w:r>
      <w:r>
        <w:t xml:space="preserve">je znašala 435 MW. Na navedeno so v veliki meri vplivale zelo nizke temperature. </w:t>
      </w:r>
      <w:r w:rsidRPr="000C63F1">
        <w:t xml:space="preserve"> </w:t>
      </w:r>
    </w:p>
    <w:p w:rsidR="0067025F" w:rsidRDefault="0067025F" w:rsidP="0067025F">
      <w:pPr>
        <w:spacing w:after="0" w:line="240" w:lineRule="auto"/>
        <w:jc w:val="both"/>
      </w:pPr>
    </w:p>
    <w:p w:rsidR="0067025F" w:rsidRDefault="0067025F" w:rsidP="0067025F">
      <w:pPr>
        <w:spacing w:after="0" w:line="240" w:lineRule="auto"/>
        <w:jc w:val="both"/>
      </w:pPr>
      <w:r w:rsidRPr="003C7DD1">
        <w:t xml:space="preserve">Konična moč distribucijskega sistema na področju OE Slovenska Bistrica je </w:t>
      </w:r>
      <w:r>
        <w:t>v letu 2017</w:t>
      </w:r>
      <w:r w:rsidRPr="003C7DD1">
        <w:t xml:space="preserve"> znašala </w:t>
      </w:r>
      <w:r>
        <w:t>91</w:t>
      </w:r>
      <w:r w:rsidRPr="003C7DD1">
        <w:t xml:space="preserve"> MW, </w:t>
      </w:r>
      <w:r>
        <w:t xml:space="preserve">kar je največ doslej, </w:t>
      </w:r>
      <w:r w:rsidRPr="003C7DD1">
        <w:t>najvišja pa je bila v januarju.</w:t>
      </w:r>
      <w:r w:rsidRPr="007640E4">
        <w:t xml:space="preserve"> </w:t>
      </w:r>
    </w:p>
    <w:p w:rsidR="0067025F" w:rsidRDefault="0067025F" w:rsidP="0067025F">
      <w:pPr>
        <w:spacing w:after="0" w:line="240" w:lineRule="auto"/>
        <w:jc w:val="both"/>
      </w:pPr>
    </w:p>
    <w:p w:rsidR="0067025F" w:rsidRPr="00084060" w:rsidRDefault="0067025F" w:rsidP="0067025F">
      <w:pPr>
        <w:spacing w:after="0" w:line="240" w:lineRule="auto"/>
        <w:jc w:val="center"/>
        <w:rPr>
          <w:highlight w:val="yellow"/>
        </w:rPr>
      </w:pPr>
      <w:r>
        <w:rPr>
          <w:noProof/>
          <w:lang w:eastAsia="sl-SI"/>
        </w:rPr>
        <w:lastRenderedPageBreak/>
        <w:drawing>
          <wp:inline distT="0" distB="0" distL="0" distR="0" wp14:anchorId="3465212B" wp14:editId="26B6489D">
            <wp:extent cx="4981575" cy="3000375"/>
            <wp:effectExtent l="0" t="0" r="9525" b="9525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025F" w:rsidRDefault="0067025F" w:rsidP="0067025F">
      <w:pPr>
        <w:spacing w:after="0" w:line="240" w:lineRule="auto"/>
        <w:jc w:val="both"/>
      </w:pPr>
    </w:p>
    <w:p w:rsidR="0067025F" w:rsidRDefault="0067025F" w:rsidP="0067025F">
      <w:pPr>
        <w:spacing w:after="0" w:line="240" w:lineRule="auto"/>
        <w:jc w:val="both"/>
      </w:pPr>
      <w:r w:rsidRPr="0008364D">
        <w:t xml:space="preserve">Podatek o konični moči je še posebej pomemben pri načrtovanju razvoja elektrodistribucijskega omrežja, ki mora biti dimenzionirano tudi glede na konično moč. Če ta raste, se mora omrežje dodatno okrepiti. V to so usmerjena tudi prizadevanja družbe Elektro Maribor. </w:t>
      </w:r>
    </w:p>
    <w:p w:rsidR="0067025F" w:rsidRDefault="0067025F" w:rsidP="0067025F">
      <w:pPr>
        <w:spacing w:after="0" w:line="240" w:lineRule="auto"/>
        <w:jc w:val="both"/>
      </w:pPr>
    </w:p>
    <w:p w:rsidR="0067025F" w:rsidRDefault="0067025F" w:rsidP="0067025F">
      <w:pPr>
        <w:spacing w:after="0" w:line="240" w:lineRule="auto"/>
        <w:jc w:val="both"/>
      </w:pPr>
      <w:r w:rsidRPr="0008364D">
        <w:t xml:space="preserve">Na rast konične obremenitve vplivajo v največji meri klimatski dejavniki, pa tudi gospodarska aktivnost (povečevanje obremenitev obstoječih ter priključevanje novih odjemalcev in proizvajalcev). </w:t>
      </w:r>
    </w:p>
    <w:p w:rsidR="000842AC" w:rsidRDefault="000842AC" w:rsidP="0067025F">
      <w:pPr>
        <w:spacing w:after="0" w:line="240" w:lineRule="auto"/>
        <w:jc w:val="both"/>
      </w:pPr>
    </w:p>
    <w:p w:rsidR="000842AC" w:rsidRPr="003C7DD1" w:rsidRDefault="000842AC" w:rsidP="0067025F">
      <w:pPr>
        <w:spacing w:after="0" w:line="240" w:lineRule="auto"/>
        <w:jc w:val="both"/>
      </w:pPr>
    </w:p>
    <w:p w:rsidR="003126CE" w:rsidRPr="00825039" w:rsidRDefault="00996412" w:rsidP="009E1D31">
      <w:pPr>
        <w:spacing w:after="0" w:line="240" w:lineRule="auto"/>
        <w:jc w:val="center"/>
        <w:rPr>
          <w:b/>
          <w:color w:val="0070C0"/>
        </w:rPr>
      </w:pPr>
      <w:r>
        <w:rPr>
          <w:b/>
          <w:color w:val="0070C0"/>
        </w:rPr>
        <w:t>O</w:t>
      </w:r>
      <w:r w:rsidR="0067025F">
        <w:rPr>
          <w:b/>
          <w:color w:val="0070C0"/>
        </w:rPr>
        <w:t>bračunska moč</w:t>
      </w:r>
    </w:p>
    <w:p w:rsidR="003126CE" w:rsidRPr="00825039" w:rsidRDefault="003126CE" w:rsidP="009E1D31">
      <w:pPr>
        <w:spacing w:after="0" w:line="240" w:lineRule="auto"/>
        <w:jc w:val="both"/>
      </w:pPr>
    </w:p>
    <w:p w:rsidR="0067025F" w:rsidRDefault="0067025F" w:rsidP="0067025F">
      <w:pPr>
        <w:spacing w:after="0" w:line="240" w:lineRule="auto"/>
        <w:jc w:val="both"/>
      </w:pPr>
      <w:r>
        <w:t>P</w:t>
      </w:r>
      <w:r w:rsidRPr="009F7124">
        <w:t>ovečala</w:t>
      </w:r>
      <w:r>
        <w:t xml:space="preserve"> se je</w:t>
      </w:r>
      <w:r w:rsidRPr="009F7124">
        <w:t xml:space="preserve"> tudi obračunska moč, in sicer za </w:t>
      </w:r>
      <w:r>
        <w:t>1</w:t>
      </w:r>
      <w:r w:rsidRPr="009F7124">
        <w:t>,</w:t>
      </w:r>
      <w:r>
        <w:t>8</w:t>
      </w:r>
      <w:r w:rsidRPr="009F7124">
        <w:t xml:space="preserve"> % na srednji napetosti in </w:t>
      </w:r>
      <w:r w:rsidR="008C23E8">
        <w:t xml:space="preserve">kar </w:t>
      </w:r>
      <w:r w:rsidRPr="009F7124">
        <w:t xml:space="preserve">za </w:t>
      </w:r>
      <w:r>
        <w:t>2,5</w:t>
      </w:r>
      <w:r w:rsidRPr="009F7124">
        <w:t xml:space="preserve"> % pri poslovnem odjemu na nizki napetosti. Realizacija sku</w:t>
      </w:r>
      <w:r>
        <w:t>pne obračunske moči je bila za 1,2 % večja kot v letu 2016</w:t>
      </w:r>
      <w:r w:rsidRPr="009F7124">
        <w:t>, na območj</w:t>
      </w:r>
      <w:r>
        <w:t>u Elektro Maribor pa je bila 0,9</w:t>
      </w:r>
      <w:r w:rsidRPr="009F7124">
        <w:t xml:space="preserve"> % večja. Obračunska moč je izmerjena ali določena glede na varovalko in je navedena na računu.</w:t>
      </w:r>
    </w:p>
    <w:p w:rsidR="0067025F" w:rsidRDefault="0067025F" w:rsidP="009E1D31">
      <w:pPr>
        <w:spacing w:after="0" w:line="240" w:lineRule="auto"/>
        <w:jc w:val="both"/>
        <w:rPr>
          <w:iCs/>
        </w:rPr>
      </w:pPr>
    </w:p>
    <w:tbl>
      <w:tblPr>
        <w:tblW w:w="7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960"/>
        <w:gridCol w:w="1820"/>
      </w:tblGrid>
      <w:tr w:rsidR="008C23E8" w:rsidRPr="00F1415C" w:rsidTr="008C23E8">
        <w:trPr>
          <w:trHeight w:val="1077"/>
          <w:jc w:val="center"/>
        </w:trPr>
        <w:tc>
          <w:tcPr>
            <w:tcW w:w="3720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8C23E8" w:rsidRPr="00F1415C" w:rsidRDefault="008C23E8" w:rsidP="00084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Območna enota Slovenska Bistrica, primerjava po posameznih uporabniških skupinah z enakim obdobjem v 2016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C23E8" w:rsidRPr="00F1415C" w:rsidRDefault="008C23E8" w:rsidP="00F1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Obračunska moč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C23E8" w:rsidRPr="00F1415C" w:rsidRDefault="008C23E8" w:rsidP="00F14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Energija</w:t>
            </w:r>
          </w:p>
        </w:tc>
      </w:tr>
      <w:tr w:rsidR="00F1415C" w:rsidRPr="00F1415C" w:rsidTr="00F1415C">
        <w:trPr>
          <w:trHeight w:val="300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15C" w:rsidRPr="00F1415C" w:rsidRDefault="00F1415C" w:rsidP="00F14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color w:val="000000"/>
                <w:lang w:eastAsia="sl-SI"/>
              </w:rPr>
              <w:t>Srednja napetost (SN)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1415C" w:rsidRPr="00F1415C" w:rsidRDefault="00F1415C" w:rsidP="00084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color w:val="00B050"/>
                <w:lang w:eastAsia="sl-SI"/>
              </w:rPr>
              <w:t>1,8%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1415C" w:rsidRPr="00F1415C" w:rsidRDefault="00F1415C" w:rsidP="00084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color w:val="00B050"/>
                <w:lang w:eastAsia="sl-SI"/>
              </w:rPr>
              <w:t>2,9%</w:t>
            </w:r>
          </w:p>
        </w:tc>
      </w:tr>
      <w:tr w:rsidR="00F1415C" w:rsidRPr="00F1415C" w:rsidTr="00F1415C">
        <w:trPr>
          <w:trHeight w:val="300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15C" w:rsidRPr="00F1415C" w:rsidRDefault="00F1415C" w:rsidP="00F14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color w:val="000000"/>
                <w:lang w:eastAsia="sl-SI"/>
              </w:rPr>
              <w:t>Nizka napetost (NN) – poslovni odjem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1415C" w:rsidRPr="00F1415C" w:rsidRDefault="00F1415C" w:rsidP="00084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color w:val="00B050"/>
                <w:lang w:eastAsia="sl-SI"/>
              </w:rPr>
              <w:t>2,5%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1415C" w:rsidRPr="00F1415C" w:rsidRDefault="00F1415C" w:rsidP="00084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color w:val="00B050"/>
                <w:lang w:eastAsia="sl-SI"/>
              </w:rPr>
              <w:t>3,0%</w:t>
            </w:r>
          </w:p>
        </w:tc>
      </w:tr>
      <w:tr w:rsidR="00F1415C" w:rsidRPr="00F1415C" w:rsidTr="00F1415C">
        <w:trPr>
          <w:trHeight w:val="300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15C" w:rsidRPr="00F1415C" w:rsidRDefault="00F1415C" w:rsidP="00F14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color w:val="000000"/>
                <w:lang w:eastAsia="sl-SI"/>
              </w:rPr>
              <w:t>Gospodinjstva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1415C" w:rsidRPr="00F1415C" w:rsidRDefault="00F1415C" w:rsidP="00084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color w:val="00B050"/>
                <w:lang w:eastAsia="sl-SI"/>
              </w:rPr>
              <w:t>0,6%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1415C" w:rsidRPr="00F1415C" w:rsidRDefault="00F1415C" w:rsidP="00084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color w:val="00B050"/>
                <w:lang w:eastAsia="sl-SI"/>
              </w:rPr>
              <w:t>3,4%</w:t>
            </w:r>
          </w:p>
        </w:tc>
      </w:tr>
      <w:tr w:rsidR="00F1415C" w:rsidRPr="00F1415C" w:rsidTr="00F1415C">
        <w:trPr>
          <w:trHeight w:val="300"/>
          <w:jc w:val="center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15C" w:rsidRPr="00F1415C" w:rsidRDefault="000842AC" w:rsidP="00F14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1415C" w:rsidRPr="00F1415C" w:rsidRDefault="00F1415C" w:rsidP="00084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b/>
                <w:bCs/>
                <w:color w:val="00B050"/>
                <w:lang w:eastAsia="sl-SI"/>
              </w:rPr>
              <w:t>1,2%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F1415C" w:rsidRPr="00F1415C" w:rsidRDefault="00F1415C" w:rsidP="00084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sl-SI"/>
              </w:rPr>
            </w:pPr>
            <w:r w:rsidRPr="00F1415C">
              <w:rPr>
                <w:rFonts w:ascii="Calibri" w:eastAsia="Times New Roman" w:hAnsi="Calibri" w:cs="Calibri"/>
                <w:b/>
                <w:bCs/>
                <w:color w:val="00B050"/>
                <w:lang w:eastAsia="sl-SI"/>
              </w:rPr>
              <w:t>3,0%</w:t>
            </w:r>
          </w:p>
        </w:tc>
      </w:tr>
    </w:tbl>
    <w:p w:rsidR="00CD3E63" w:rsidRDefault="00CD3E63" w:rsidP="009E1D31">
      <w:pPr>
        <w:spacing w:after="0" w:line="240" w:lineRule="auto"/>
        <w:jc w:val="both"/>
        <w:rPr>
          <w:rFonts w:eastAsia="Times New Roman" w:cs="Times New Roman"/>
          <w:bCs/>
          <w:color w:val="000000"/>
          <w:highlight w:val="yellow"/>
          <w:lang w:eastAsia="sl-SI"/>
        </w:rPr>
      </w:pPr>
    </w:p>
    <w:p w:rsidR="000842AC" w:rsidRPr="00084060" w:rsidRDefault="000842AC" w:rsidP="009E1D31">
      <w:pPr>
        <w:spacing w:after="0" w:line="240" w:lineRule="auto"/>
        <w:jc w:val="both"/>
        <w:rPr>
          <w:rFonts w:eastAsia="Times New Roman" w:cs="Times New Roman"/>
          <w:bCs/>
          <w:color w:val="000000"/>
          <w:highlight w:val="yellow"/>
          <w:lang w:eastAsia="sl-SI"/>
        </w:rPr>
      </w:pPr>
    </w:p>
    <w:p w:rsidR="0067025F" w:rsidRPr="00825039" w:rsidRDefault="0067025F" w:rsidP="0067025F">
      <w:pPr>
        <w:spacing w:after="0" w:line="240" w:lineRule="auto"/>
        <w:jc w:val="center"/>
        <w:rPr>
          <w:b/>
          <w:color w:val="0070C0"/>
        </w:rPr>
      </w:pPr>
      <w:r>
        <w:rPr>
          <w:b/>
          <w:color w:val="0070C0"/>
        </w:rPr>
        <w:t>Distribuirana energija</w:t>
      </w:r>
    </w:p>
    <w:p w:rsidR="0067025F" w:rsidRDefault="0067025F" w:rsidP="0067025F">
      <w:pPr>
        <w:spacing w:after="0" w:line="240" w:lineRule="auto"/>
        <w:jc w:val="both"/>
        <w:rPr>
          <w:iCs/>
        </w:rPr>
      </w:pPr>
    </w:p>
    <w:p w:rsidR="0067025F" w:rsidRPr="009F7124" w:rsidRDefault="0067025F" w:rsidP="0067025F">
      <w:pPr>
        <w:spacing w:after="0" w:line="240" w:lineRule="auto"/>
        <w:jc w:val="both"/>
        <w:rPr>
          <w:iCs/>
        </w:rPr>
      </w:pPr>
      <w:r>
        <w:rPr>
          <w:iCs/>
        </w:rPr>
        <w:t>Odjem</w:t>
      </w:r>
      <w:r w:rsidRPr="009F7124">
        <w:rPr>
          <w:iCs/>
        </w:rPr>
        <w:t xml:space="preserve"> gospodinjskih odjemalcev na oskrbnem območju Območne enote Slovenska Bistrica je bil </w:t>
      </w:r>
      <w:r>
        <w:rPr>
          <w:iCs/>
        </w:rPr>
        <w:t>v letu 2017</w:t>
      </w:r>
      <w:r w:rsidRPr="009F7124">
        <w:rPr>
          <w:iCs/>
        </w:rPr>
        <w:t xml:space="preserve"> za </w:t>
      </w:r>
      <w:r>
        <w:rPr>
          <w:iCs/>
        </w:rPr>
        <w:t>3,4</w:t>
      </w:r>
      <w:r w:rsidRPr="009F7124">
        <w:rPr>
          <w:iCs/>
        </w:rPr>
        <w:t xml:space="preserve"> % večj</w:t>
      </w:r>
      <w:r>
        <w:rPr>
          <w:iCs/>
        </w:rPr>
        <w:t>i</w:t>
      </w:r>
      <w:r w:rsidRPr="009F7124">
        <w:rPr>
          <w:iCs/>
        </w:rPr>
        <w:t xml:space="preserve"> kot v letu 201</w:t>
      </w:r>
      <w:r>
        <w:rPr>
          <w:iCs/>
        </w:rPr>
        <w:t>6</w:t>
      </w:r>
      <w:r w:rsidRPr="009F7124">
        <w:rPr>
          <w:iCs/>
        </w:rPr>
        <w:t>, kar je nekoliko več kot na celotnem območju Elektra Maribor, kjer je bil</w:t>
      </w:r>
      <w:r>
        <w:rPr>
          <w:iCs/>
        </w:rPr>
        <w:t xml:space="preserve"> odjem gospodinjskih odjemalcev 2</w:t>
      </w:r>
      <w:r w:rsidRPr="009F7124">
        <w:rPr>
          <w:iCs/>
        </w:rPr>
        <w:t>,4 % večj</w:t>
      </w:r>
      <w:r>
        <w:rPr>
          <w:iCs/>
        </w:rPr>
        <w:t>i</w:t>
      </w:r>
      <w:r w:rsidRPr="009F7124">
        <w:rPr>
          <w:iCs/>
        </w:rPr>
        <w:t xml:space="preserve">. </w:t>
      </w:r>
      <w:r>
        <w:rPr>
          <w:iCs/>
        </w:rPr>
        <w:t>O</w:t>
      </w:r>
      <w:r w:rsidRPr="009F7124">
        <w:rPr>
          <w:iCs/>
        </w:rPr>
        <w:t>djem na srednji napetosti (SN</w:t>
      </w:r>
      <w:r>
        <w:rPr>
          <w:iCs/>
        </w:rPr>
        <w:t>) je bil za 2,9</w:t>
      </w:r>
      <w:r w:rsidRPr="009F7124">
        <w:rPr>
          <w:iCs/>
        </w:rPr>
        <w:t xml:space="preserve"> % večj</w:t>
      </w:r>
      <w:r>
        <w:rPr>
          <w:iCs/>
        </w:rPr>
        <w:t>i</w:t>
      </w:r>
      <w:r w:rsidRPr="009F7124">
        <w:rPr>
          <w:iCs/>
        </w:rPr>
        <w:t xml:space="preserve"> (na območju Elektra Maribor </w:t>
      </w:r>
      <w:r>
        <w:rPr>
          <w:iCs/>
        </w:rPr>
        <w:t>3</w:t>
      </w:r>
      <w:r w:rsidRPr="009F7124">
        <w:rPr>
          <w:iCs/>
        </w:rPr>
        <w:t xml:space="preserve"> % večj</w:t>
      </w:r>
      <w:r>
        <w:rPr>
          <w:iCs/>
        </w:rPr>
        <w:t>i</w:t>
      </w:r>
      <w:r w:rsidRPr="009F7124">
        <w:rPr>
          <w:iCs/>
        </w:rPr>
        <w:t xml:space="preserve">), </w:t>
      </w:r>
      <w:r>
        <w:rPr>
          <w:iCs/>
        </w:rPr>
        <w:t xml:space="preserve">odjem </w:t>
      </w:r>
      <w:r w:rsidRPr="009F7124">
        <w:rPr>
          <w:iCs/>
        </w:rPr>
        <w:t xml:space="preserve">poslovnih odjemalcev na nizki napetosti (NN) pa </w:t>
      </w:r>
      <w:r>
        <w:rPr>
          <w:iCs/>
        </w:rPr>
        <w:t>3</w:t>
      </w:r>
      <w:r w:rsidRPr="009F7124">
        <w:rPr>
          <w:iCs/>
        </w:rPr>
        <w:t xml:space="preserve"> % večj</w:t>
      </w:r>
      <w:r>
        <w:rPr>
          <w:iCs/>
        </w:rPr>
        <w:t>i</w:t>
      </w:r>
      <w:r w:rsidRPr="009F7124">
        <w:rPr>
          <w:iCs/>
        </w:rPr>
        <w:t xml:space="preserve"> kot v 201</w:t>
      </w:r>
      <w:r>
        <w:rPr>
          <w:iCs/>
        </w:rPr>
        <w:t>6</w:t>
      </w:r>
      <w:r w:rsidRPr="009F7124">
        <w:rPr>
          <w:iCs/>
        </w:rPr>
        <w:t xml:space="preserve"> (na območju Elektra Maribor 2,</w:t>
      </w:r>
      <w:r>
        <w:rPr>
          <w:iCs/>
        </w:rPr>
        <w:t>1</w:t>
      </w:r>
      <w:r w:rsidRPr="009F7124">
        <w:rPr>
          <w:iCs/>
        </w:rPr>
        <w:t xml:space="preserve"> % večj</w:t>
      </w:r>
      <w:r>
        <w:rPr>
          <w:iCs/>
        </w:rPr>
        <w:t>i</w:t>
      </w:r>
      <w:r w:rsidRPr="009F7124">
        <w:rPr>
          <w:iCs/>
        </w:rPr>
        <w:t>), na kar so vplivala gospodarska gibanja na distribucijskem območju</w:t>
      </w:r>
      <w:r w:rsidRPr="009F7124">
        <w:t>.</w:t>
      </w:r>
      <w:r w:rsidRPr="009F7124">
        <w:rPr>
          <w:rFonts w:eastAsia="Times New Roman" w:cs="Times New Roman"/>
          <w:bCs/>
          <w:color w:val="000000"/>
          <w:lang w:eastAsia="sl-SI"/>
        </w:rPr>
        <w:t xml:space="preserve"> </w:t>
      </w:r>
    </w:p>
    <w:p w:rsidR="0067025F" w:rsidRPr="00CF5DD9" w:rsidRDefault="0067025F" w:rsidP="0067025F">
      <w:pPr>
        <w:spacing w:after="0" w:line="240" w:lineRule="auto"/>
        <w:jc w:val="both"/>
        <w:rPr>
          <w:rFonts w:eastAsia="Times New Roman" w:cs="Times New Roman"/>
          <w:bCs/>
          <w:color w:val="000000"/>
          <w:highlight w:val="yellow"/>
          <w:lang w:eastAsia="sl-SI"/>
        </w:rPr>
      </w:pPr>
    </w:p>
    <w:p w:rsidR="0067025F" w:rsidRPr="009F7124" w:rsidRDefault="0067025F" w:rsidP="0067025F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  <w:r>
        <w:rPr>
          <w:rFonts w:eastAsia="Times New Roman" w:cs="Times New Roman"/>
          <w:bCs/>
          <w:color w:val="000000"/>
          <w:lang w:eastAsia="sl-SI"/>
        </w:rPr>
        <w:t>V letu 2017</w:t>
      </w:r>
      <w:r w:rsidRPr="009F7124">
        <w:rPr>
          <w:rFonts w:eastAsia="Times New Roman" w:cs="Times New Roman"/>
          <w:bCs/>
          <w:color w:val="000000"/>
          <w:lang w:eastAsia="sl-SI"/>
        </w:rPr>
        <w:t xml:space="preserve"> je bila na tem območju zabeležena </w:t>
      </w:r>
      <w:r>
        <w:rPr>
          <w:rFonts w:eastAsia="Times New Roman" w:cs="Times New Roman"/>
          <w:bCs/>
          <w:color w:val="000000"/>
          <w:lang w:eastAsia="sl-SI"/>
        </w:rPr>
        <w:t>3</w:t>
      </w:r>
      <w:r w:rsidRPr="009F7124">
        <w:rPr>
          <w:rFonts w:eastAsia="Times New Roman" w:cs="Times New Roman"/>
          <w:bCs/>
          <w:color w:val="000000"/>
          <w:lang w:eastAsia="sl-SI"/>
        </w:rPr>
        <w:t xml:space="preserve"> %</w:t>
      </w:r>
      <w:r>
        <w:rPr>
          <w:rFonts w:eastAsia="Times New Roman" w:cs="Times New Roman"/>
          <w:bCs/>
          <w:color w:val="000000"/>
          <w:lang w:eastAsia="sl-SI"/>
        </w:rPr>
        <w:t xml:space="preserve"> </w:t>
      </w:r>
      <w:r w:rsidRPr="009F7124">
        <w:rPr>
          <w:rFonts w:eastAsia="Times New Roman" w:cs="Times New Roman"/>
          <w:bCs/>
          <w:color w:val="000000"/>
          <w:lang w:eastAsia="sl-SI"/>
        </w:rPr>
        <w:t xml:space="preserve">skupna rast </w:t>
      </w:r>
      <w:r>
        <w:rPr>
          <w:rFonts w:eastAsia="Times New Roman" w:cs="Times New Roman"/>
          <w:bCs/>
          <w:color w:val="000000"/>
          <w:lang w:eastAsia="sl-SI"/>
        </w:rPr>
        <w:t>odjema</w:t>
      </w:r>
      <w:r w:rsidRPr="009F7124">
        <w:rPr>
          <w:rFonts w:eastAsia="Times New Roman" w:cs="Times New Roman"/>
          <w:bCs/>
          <w:color w:val="000000"/>
          <w:lang w:eastAsia="sl-SI"/>
        </w:rPr>
        <w:t>, na celotnem območju Elektra Maribor</w:t>
      </w:r>
      <w:r>
        <w:rPr>
          <w:rFonts w:eastAsia="Times New Roman" w:cs="Times New Roman"/>
          <w:bCs/>
          <w:color w:val="000000"/>
          <w:lang w:eastAsia="sl-SI"/>
        </w:rPr>
        <w:t xml:space="preserve"> pa 2,6</w:t>
      </w:r>
      <w:r w:rsidRPr="009F7124">
        <w:rPr>
          <w:rFonts w:eastAsia="Times New Roman" w:cs="Times New Roman"/>
          <w:bCs/>
          <w:color w:val="000000"/>
          <w:lang w:eastAsia="sl-SI"/>
        </w:rPr>
        <w:t xml:space="preserve"> %. </w:t>
      </w:r>
      <w:r>
        <w:rPr>
          <w:rFonts w:eastAsia="Times New Roman" w:cs="Times New Roman"/>
          <w:bCs/>
          <w:color w:val="000000"/>
          <w:lang w:eastAsia="sl-SI"/>
        </w:rPr>
        <w:t>Rast rabe poslovnih uporabnikov na srednji in nizki napetosti</w:t>
      </w:r>
      <w:r w:rsidRPr="009F7124">
        <w:rPr>
          <w:rFonts w:eastAsia="Times New Roman" w:cs="Times New Roman"/>
          <w:bCs/>
          <w:color w:val="000000"/>
          <w:lang w:eastAsia="sl-SI"/>
        </w:rPr>
        <w:t xml:space="preserve"> kaže na opaznejšo rast gospodarske oz. poslovne dejavnosti. </w:t>
      </w:r>
      <w:r w:rsidRPr="009F7124">
        <w:rPr>
          <w:lang w:eastAsia="sl-SI"/>
        </w:rPr>
        <w:fldChar w:fldCharType="begin"/>
      </w:r>
      <w:r w:rsidRPr="009F7124">
        <w:rPr>
          <w:lang w:eastAsia="sl-SI"/>
        </w:rPr>
        <w:instrText xml:space="preserve"> LINK Excel.Sheet.12 "D:\\Uporabniki\\em3676\\Dokumenti\\2016\\novinarji\\podatki\\Distribuirana ee 2005-2015_dodan mesec max konične moči.xlsx" "Poraba po OE 2015 2014!R23C9:R28C11" \a \f 4 \h  \* MERGEFORMAT </w:instrText>
      </w:r>
      <w:r w:rsidRPr="009F7124">
        <w:rPr>
          <w:lang w:eastAsia="sl-SI"/>
        </w:rPr>
        <w:fldChar w:fldCharType="end"/>
      </w:r>
    </w:p>
    <w:p w:rsidR="001C380E" w:rsidRDefault="001C380E" w:rsidP="009E1D31">
      <w:pPr>
        <w:spacing w:after="0" w:line="240" w:lineRule="auto"/>
        <w:jc w:val="both"/>
      </w:pPr>
    </w:p>
    <w:p w:rsidR="00504AF3" w:rsidRPr="00841925" w:rsidRDefault="00F1415C" w:rsidP="00841925">
      <w:pPr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3A08191E" wp14:editId="49183264">
            <wp:extent cx="5057775" cy="3055620"/>
            <wp:effectExtent l="0" t="0" r="9525" b="11430"/>
            <wp:docPr id="2" name="Grafikon 2" title="Distribuirana energij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6E34" w:rsidRPr="00084060" w:rsidRDefault="00256E34" w:rsidP="009E1D31">
      <w:pPr>
        <w:spacing w:after="0" w:line="240" w:lineRule="auto"/>
        <w:rPr>
          <w:rFonts w:eastAsia="Times New Roman" w:cs="Times New Roman"/>
          <w:bCs/>
          <w:color w:val="000000"/>
          <w:highlight w:val="yellow"/>
          <w:lang w:eastAsia="sl-SI"/>
        </w:rPr>
      </w:pPr>
    </w:p>
    <w:p w:rsidR="00551EA7" w:rsidRPr="007441CC" w:rsidRDefault="004F753F" w:rsidP="0067025F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  <w:r w:rsidRPr="00841925">
        <w:rPr>
          <w:rFonts w:eastAsia="Times New Roman" w:cs="Times New Roman"/>
          <w:bCs/>
          <w:color w:val="000000"/>
          <w:lang w:eastAsia="sl-SI"/>
        </w:rPr>
        <w:t xml:space="preserve">Na območju </w:t>
      </w:r>
      <w:r w:rsidR="0008364D" w:rsidRPr="00841925">
        <w:rPr>
          <w:rFonts w:eastAsia="Times New Roman" w:cs="Times New Roman"/>
          <w:bCs/>
          <w:color w:val="000000"/>
          <w:lang w:eastAsia="sl-SI"/>
        </w:rPr>
        <w:t>Slovenske Bistrice</w:t>
      </w:r>
      <w:r w:rsidRPr="00841925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1C5799" w:rsidRPr="00841925">
        <w:rPr>
          <w:rFonts w:eastAsia="Times New Roman" w:cs="Times New Roman"/>
          <w:bCs/>
          <w:color w:val="000000"/>
          <w:lang w:eastAsia="sl-SI"/>
        </w:rPr>
        <w:t xml:space="preserve">je 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>rasla</w:t>
      </w:r>
      <w:r w:rsidRPr="00841925">
        <w:rPr>
          <w:rFonts w:eastAsia="Times New Roman" w:cs="Times New Roman"/>
          <w:bCs/>
          <w:color w:val="000000"/>
          <w:lang w:eastAsia="sl-SI"/>
        </w:rPr>
        <w:t xml:space="preserve"> dis</w:t>
      </w:r>
      <w:r w:rsidR="001C5799" w:rsidRPr="00841925">
        <w:rPr>
          <w:rFonts w:eastAsia="Times New Roman" w:cs="Times New Roman"/>
          <w:bCs/>
          <w:color w:val="000000"/>
          <w:lang w:eastAsia="sl-SI"/>
        </w:rPr>
        <w:t xml:space="preserve">tribuirana električna energija </w:t>
      </w:r>
      <w:r w:rsidRPr="00841925">
        <w:rPr>
          <w:rFonts w:eastAsia="Times New Roman" w:cs="Times New Roman"/>
          <w:bCs/>
          <w:color w:val="000000"/>
          <w:lang w:eastAsia="sl-SI"/>
        </w:rPr>
        <w:t>d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>o</w:t>
      </w:r>
      <w:r w:rsidRPr="00841925">
        <w:rPr>
          <w:rFonts w:eastAsia="Times New Roman" w:cs="Times New Roman"/>
          <w:bCs/>
          <w:color w:val="000000"/>
          <w:lang w:eastAsia="sl-SI"/>
        </w:rPr>
        <w:t xml:space="preserve"> leta 20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>08.</w:t>
      </w:r>
      <w:r w:rsidR="001C5799" w:rsidRPr="00841925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447236" w:rsidRPr="00841925">
        <w:rPr>
          <w:rFonts w:eastAsia="Times New Roman" w:cs="Times New Roman"/>
          <w:bCs/>
          <w:color w:val="000000"/>
          <w:lang w:eastAsia="sl-SI"/>
        </w:rPr>
        <w:t>R</w:t>
      </w:r>
      <w:r w:rsidR="00504AF3" w:rsidRPr="00841925">
        <w:rPr>
          <w:rFonts w:eastAsia="Times New Roman" w:cs="Times New Roman"/>
          <w:bCs/>
          <w:color w:val="000000"/>
          <w:lang w:eastAsia="sl-SI"/>
        </w:rPr>
        <w:t>aba v letu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 xml:space="preserve"> 2009</w:t>
      </w:r>
      <w:r w:rsidR="00504AF3" w:rsidRPr="00841925">
        <w:rPr>
          <w:rFonts w:eastAsia="Times New Roman" w:cs="Times New Roman"/>
          <w:bCs/>
          <w:color w:val="000000"/>
          <w:lang w:eastAsia="sl-SI"/>
        </w:rPr>
        <w:t xml:space="preserve"> je padla, vendar je v letu 2010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 xml:space="preserve"> že presegla vrednost iz leta 2008. Manjši padec beležimo tudi v letu 201</w:t>
      </w:r>
      <w:r w:rsidR="00504AF3" w:rsidRPr="00841925">
        <w:rPr>
          <w:rFonts w:eastAsia="Times New Roman" w:cs="Times New Roman"/>
          <w:bCs/>
          <w:color w:val="000000"/>
          <w:lang w:eastAsia="sl-SI"/>
        </w:rPr>
        <w:t>2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 xml:space="preserve">, vendar je vrednost že v </w:t>
      </w:r>
      <w:r w:rsidR="00504AF3" w:rsidRPr="00841925">
        <w:rPr>
          <w:rFonts w:eastAsia="Times New Roman" w:cs="Times New Roman"/>
          <w:bCs/>
          <w:color w:val="000000"/>
          <w:lang w:eastAsia="sl-SI"/>
        </w:rPr>
        <w:t>naslednjem letu spet narasla</w:t>
      </w:r>
      <w:r w:rsidR="009D35DC" w:rsidRPr="00841925">
        <w:rPr>
          <w:rFonts w:eastAsia="Times New Roman" w:cs="Times New Roman"/>
          <w:bCs/>
          <w:color w:val="000000"/>
          <w:lang w:eastAsia="sl-SI"/>
        </w:rPr>
        <w:t xml:space="preserve">. </w:t>
      </w:r>
      <w:r w:rsidR="00A75B12" w:rsidRPr="001C380E">
        <w:rPr>
          <w:rFonts w:eastAsia="Times New Roman" w:cs="Times New Roman"/>
          <w:bCs/>
          <w:color w:val="000000"/>
          <w:lang w:eastAsia="sl-SI"/>
        </w:rPr>
        <w:t xml:space="preserve">Na območju območne enote Slovenska Bistrica je </w:t>
      </w:r>
      <w:r w:rsidR="00F1415C">
        <w:rPr>
          <w:rFonts w:eastAsia="Times New Roman" w:cs="Times New Roman"/>
          <w:bCs/>
          <w:color w:val="000000"/>
          <w:lang w:eastAsia="sl-SI"/>
        </w:rPr>
        <w:t>v letu 2017</w:t>
      </w:r>
      <w:r w:rsidR="00A75B12" w:rsidRPr="001C380E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1C380E">
        <w:rPr>
          <w:rFonts w:eastAsia="Times New Roman" w:cs="Times New Roman"/>
          <w:bCs/>
          <w:color w:val="000000"/>
          <w:lang w:eastAsia="sl-SI"/>
        </w:rPr>
        <w:t>odjem s</w:t>
      </w:r>
      <w:r w:rsidR="00841925" w:rsidRPr="001C380E">
        <w:rPr>
          <w:rFonts w:eastAsia="Times New Roman" w:cs="Times New Roman"/>
          <w:bCs/>
          <w:color w:val="000000"/>
          <w:lang w:eastAsia="sl-SI"/>
        </w:rPr>
        <w:t xml:space="preserve"> </w:t>
      </w:r>
      <w:r w:rsidR="00F1415C">
        <w:rPr>
          <w:rFonts w:eastAsia="Times New Roman" w:cs="Times New Roman"/>
          <w:bCs/>
          <w:color w:val="000000"/>
          <w:lang w:eastAsia="sl-SI"/>
        </w:rPr>
        <w:t>50</w:t>
      </w:r>
      <w:r w:rsidR="001B56CE">
        <w:rPr>
          <w:rFonts w:eastAsia="Times New Roman" w:cs="Times New Roman"/>
          <w:bCs/>
          <w:color w:val="000000"/>
          <w:lang w:eastAsia="sl-SI"/>
        </w:rPr>
        <w:t>2</w:t>
      </w:r>
      <w:r w:rsidR="00841925" w:rsidRPr="001C380E">
        <w:rPr>
          <w:rFonts w:eastAsia="Times New Roman" w:cs="Times New Roman"/>
          <w:bCs/>
          <w:color w:val="000000"/>
          <w:lang w:eastAsia="sl-SI"/>
        </w:rPr>
        <w:t xml:space="preserve"> GWh dosegel rekordno vrednost</w:t>
      </w:r>
      <w:r w:rsidR="00A75B12" w:rsidRPr="001C380E">
        <w:rPr>
          <w:rFonts w:eastAsia="Times New Roman" w:cs="Times New Roman"/>
          <w:bCs/>
          <w:color w:val="000000"/>
          <w:lang w:eastAsia="sl-SI"/>
        </w:rPr>
        <w:t xml:space="preserve">. </w:t>
      </w:r>
    </w:p>
    <w:p w:rsidR="009E1D31" w:rsidRDefault="009E1D31" w:rsidP="009E1D31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</w:p>
    <w:p w:rsidR="00986EA2" w:rsidRPr="00986EA2" w:rsidRDefault="00B9149F" w:rsidP="00D92038">
      <w:pPr>
        <w:spacing w:after="0" w:line="240" w:lineRule="auto"/>
        <w:jc w:val="both"/>
        <w:rPr>
          <w:rFonts w:eastAsia="Times New Roman" w:cs="Times New Roman"/>
          <w:bCs/>
          <w:color w:val="000000"/>
          <w:lang w:eastAsia="sl-SI"/>
        </w:rPr>
      </w:pPr>
      <w:r>
        <w:rPr>
          <w:rFonts w:eastAsia="Times New Roman" w:cs="Times New Roman"/>
          <w:bCs/>
          <w:color w:val="000000"/>
          <w:lang w:eastAsia="sl-SI"/>
        </w:rPr>
        <w:t>Z 2,2</w:t>
      </w:r>
      <w:r w:rsidR="00986EA2" w:rsidRPr="00986EA2">
        <w:rPr>
          <w:rFonts w:eastAsia="Times New Roman" w:cs="Times New Roman"/>
          <w:bCs/>
          <w:color w:val="000000"/>
          <w:lang w:eastAsia="sl-SI"/>
        </w:rPr>
        <w:t xml:space="preserve"> % povprečno letno stopnjo rasti rabe energije v o</w:t>
      </w:r>
      <w:r>
        <w:rPr>
          <w:rFonts w:eastAsia="Times New Roman" w:cs="Times New Roman"/>
          <w:bCs/>
          <w:color w:val="000000"/>
          <w:lang w:eastAsia="sl-SI"/>
        </w:rPr>
        <w:t>bdobju od leta 2005 do leta 2017</w:t>
      </w:r>
      <w:r w:rsidR="00986EA2" w:rsidRPr="00986EA2">
        <w:rPr>
          <w:rFonts w:eastAsia="Times New Roman" w:cs="Times New Roman"/>
          <w:bCs/>
          <w:color w:val="000000"/>
          <w:lang w:eastAsia="sl-SI"/>
        </w:rPr>
        <w:t xml:space="preserve">, izkazuje območje Slovenske Bistrice precej višjo rast, kot na celotnem območju Elektra Maribor, kjer je bila v </w:t>
      </w:r>
      <w:r>
        <w:rPr>
          <w:rFonts w:eastAsia="Times New Roman" w:cs="Times New Roman"/>
          <w:bCs/>
          <w:color w:val="000000"/>
          <w:lang w:eastAsia="sl-SI"/>
        </w:rPr>
        <w:t>omenjenem obdobju 1,5</w:t>
      </w:r>
      <w:r w:rsidR="00986EA2" w:rsidRPr="00986EA2">
        <w:rPr>
          <w:rFonts w:eastAsia="Times New Roman" w:cs="Times New Roman"/>
          <w:bCs/>
          <w:color w:val="000000"/>
          <w:lang w:eastAsia="sl-SI"/>
        </w:rPr>
        <w:t xml:space="preserve"> % povprečna letna rast rabe električne energije.</w:t>
      </w:r>
    </w:p>
    <w:p w:rsidR="001C380E" w:rsidRDefault="001C380E" w:rsidP="009E1D31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</w:p>
    <w:p w:rsidR="00986EA2" w:rsidRPr="007441CC" w:rsidRDefault="00986EA2" w:rsidP="009E1D31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</w:p>
    <w:p w:rsidR="003126CE" w:rsidRPr="007441CC" w:rsidRDefault="003126CE" w:rsidP="009E1D31">
      <w:pPr>
        <w:spacing w:after="0" w:line="240" w:lineRule="auto"/>
        <w:jc w:val="center"/>
        <w:rPr>
          <w:rFonts w:eastAsia="Times New Roman" w:cs="Times New Roman"/>
          <w:b/>
          <w:bCs/>
          <w:color w:val="0070C0"/>
          <w:lang w:eastAsia="sl-SI"/>
        </w:rPr>
      </w:pPr>
      <w:r w:rsidRPr="007441CC">
        <w:rPr>
          <w:rFonts w:eastAsia="Times New Roman" w:cs="Times New Roman"/>
          <w:b/>
          <w:bCs/>
          <w:color w:val="0070C0"/>
          <w:lang w:eastAsia="sl-SI"/>
        </w:rPr>
        <w:t>Viri energije</w:t>
      </w:r>
    </w:p>
    <w:p w:rsidR="0032165E" w:rsidRPr="00996412" w:rsidRDefault="0032165E" w:rsidP="00996412">
      <w:pPr>
        <w:spacing w:after="0" w:line="240" w:lineRule="auto"/>
        <w:rPr>
          <w:rFonts w:eastAsia="Times New Roman" w:cs="Times New Roman"/>
          <w:bCs/>
          <w:color w:val="000000"/>
          <w:lang w:eastAsia="sl-SI"/>
        </w:rPr>
      </w:pPr>
    </w:p>
    <w:p w:rsidR="001B56CE" w:rsidRDefault="00E8465A" w:rsidP="009E1D31">
      <w:pPr>
        <w:spacing w:after="0" w:line="240" w:lineRule="auto"/>
        <w:jc w:val="both"/>
      </w:pPr>
      <w:r w:rsidRPr="00E948D2">
        <w:t>Proizvodni viri na obmo</w:t>
      </w:r>
      <w:r w:rsidRPr="00E948D2">
        <w:rPr>
          <w:rFonts w:cs="Calibri"/>
        </w:rPr>
        <w:t>č</w:t>
      </w:r>
      <w:r w:rsidR="00B42662" w:rsidRPr="00E948D2">
        <w:t>ju OE</w:t>
      </w:r>
      <w:r w:rsidRPr="00E948D2">
        <w:t xml:space="preserve"> </w:t>
      </w:r>
      <w:r w:rsidR="0008364D" w:rsidRPr="00E948D2">
        <w:t>Slovenska Bistrica</w:t>
      </w:r>
      <w:r w:rsidRPr="00E948D2">
        <w:t xml:space="preserve"> so </w:t>
      </w:r>
      <w:r w:rsidR="006B06EC" w:rsidRPr="00E948D2">
        <w:t>že pred letom</w:t>
      </w:r>
      <w:r w:rsidR="009D35DC" w:rsidRPr="00E948D2">
        <w:t xml:space="preserve"> 200</w:t>
      </w:r>
      <w:r w:rsidR="006B06EC" w:rsidRPr="00E948D2">
        <w:t>5</w:t>
      </w:r>
      <w:r w:rsidRPr="00E948D2">
        <w:t xml:space="preserve"> za</w:t>
      </w:r>
      <w:r w:rsidRPr="00E948D2">
        <w:rPr>
          <w:rFonts w:cs="Calibri"/>
        </w:rPr>
        <w:t>č</w:t>
      </w:r>
      <w:r w:rsidRPr="00E948D2">
        <w:t>eli pris</w:t>
      </w:r>
      <w:r w:rsidR="00E713E4" w:rsidRPr="00E948D2">
        <w:t>pevati v distribucijsko omrežje</w:t>
      </w:r>
      <w:r w:rsidRPr="00E948D2">
        <w:t xml:space="preserve">. </w:t>
      </w:r>
      <w:r w:rsidR="0066761B" w:rsidRPr="00E948D2">
        <w:t>Do leta 201</w:t>
      </w:r>
      <w:r w:rsidR="00C959B1" w:rsidRPr="00E948D2">
        <w:t>4</w:t>
      </w:r>
      <w:r w:rsidR="009D35DC" w:rsidRPr="00E948D2">
        <w:t xml:space="preserve"> so dosegli </w:t>
      </w:r>
      <w:r w:rsidR="00C959B1" w:rsidRPr="00E948D2">
        <w:t>9</w:t>
      </w:r>
      <w:r w:rsidRPr="00E948D2">
        <w:t xml:space="preserve">-odstotni delež. </w:t>
      </w:r>
      <w:r w:rsidR="00E713E4" w:rsidRPr="00E948D2">
        <w:t xml:space="preserve">Delež od </w:t>
      </w:r>
      <w:r w:rsidR="00C959B1" w:rsidRPr="00E948D2">
        <w:t>leta 2009</w:t>
      </w:r>
      <w:r w:rsidR="00E713E4" w:rsidRPr="00E948D2">
        <w:t xml:space="preserve"> </w:t>
      </w:r>
      <w:r w:rsidR="009D35DC" w:rsidRPr="00E948D2">
        <w:t xml:space="preserve">niha med </w:t>
      </w:r>
      <w:r w:rsidR="00C959B1" w:rsidRPr="00E948D2">
        <w:t>4</w:t>
      </w:r>
      <w:r w:rsidR="009D35DC" w:rsidRPr="00E948D2">
        <w:t xml:space="preserve"> </w:t>
      </w:r>
      <w:r w:rsidR="000842AC">
        <w:t xml:space="preserve">% </w:t>
      </w:r>
      <w:r w:rsidR="009D35DC" w:rsidRPr="00E948D2">
        <w:t xml:space="preserve">in </w:t>
      </w:r>
      <w:r w:rsidR="00C959B1" w:rsidRPr="00E948D2">
        <w:t>9</w:t>
      </w:r>
      <w:r w:rsidR="009D35DC" w:rsidRPr="00E948D2">
        <w:t xml:space="preserve"> %. </w:t>
      </w:r>
    </w:p>
    <w:p w:rsidR="001B56CE" w:rsidRDefault="001B56CE" w:rsidP="009E1D31">
      <w:pPr>
        <w:spacing w:after="0" w:line="240" w:lineRule="auto"/>
        <w:jc w:val="both"/>
      </w:pPr>
    </w:p>
    <w:p w:rsidR="004F753F" w:rsidRPr="0011649F" w:rsidRDefault="00D92038" w:rsidP="009E1D31">
      <w:pPr>
        <w:spacing w:after="0" w:line="240" w:lineRule="auto"/>
        <w:jc w:val="both"/>
        <w:rPr>
          <w:highlight w:val="yellow"/>
        </w:rPr>
      </w:pPr>
      <w:r>
        <w:t>V letu 2017</w:t>
      </w:r>
      <w:r w:rsidR="004F753F" w:rsidRPr="00E948D2">
        <w:t xml:space="preserve"> je</w:t>
      </w:r>
      <w:r w:rsidR="00E713E4" w:rsidRPr="00E948D2">
        <w:t xml:space="preserve"> </w:t>
      </w:r>
      <w:r w:rsidR="004F753F" w:rsidRPr="00E948D2">
        <w:t xml:space="preserve">na področju OE </w:t>
      </w:r>
      <w:r w:rsidR="0008364D" w:rsidRPr="00E948D2">
        <w:t>Slovenska Bistrica</w:t>
      </w:r>
      <w:r w:rsidR="004F753F" w:rsidRPr="00E948D2">
        <w:t xml:space="preserve"> </w:t>
      </w:r>
      <w:r w:rsidR="0066761B" w:rsidRPr="00E948D2">
        <w:t xml:space="preserve">delež proizvodnih virov znašal </w:t>
      </w:r>
      <w:r>
        <w:t>6</w:t>
      </w:r>
      <w:r w:rsidR="004F753F" w:rsidRPr="00E948D2">
        <w:t xml:space="preserve"> %, le ti pa s</w:t>
      </w:r>
      <w:r w:rsidR="00E713E4" w:rsidRPr="00E948D2">
        <w:t xml:space="preserve">o v preteklem letu proizvedli </w:t>
      </w:r>
      <w:r>
        <w:t>32</w:t>
      </w:r>
      <w:r w:rsidR="001B56CE">
        <w:t>,</w:t>
      </w:r>
      <w:r>
        <w:t>5</w:t>
      </w:r>
      <w:r w:rsidR="004F753F" w:rsidRPr="00E948D2">
        <w:t xml:space="preserve"> </w:t>
      </w:r>
      <w:r w:rsidR="001B56CE">
        <w:t>G</w:t>
      </w:r>
      <w:r w:rsidR="004F753F" w:rsidRPr="00E948D2">
        <w:t>Wh električne e</w:t>
      </w:r>
      <w:r w:rsidR="00C959B1" w:rsidRPr="00E948D2">
        <w:t xml:space="preserve">nergije, kar predstavlja </w:t>
      </w:r>
      <w:r w:rsidR="007441CC" w:rsidRPr="00E948D2">
        <w:t>10</w:t>
      </w:r>
      <w:r w:rsidR="004F753F" w:rsidRPr="00E948D2">
        <w:t xml:space="preserve"> % tako proizvedene energije na območju družbe Elektro Maribor.</w:t>
      </w:r>
      <w:r w:rsidR="00003ADE" w:rsidRPr="00E948D2">
        <w:t xml:space="preserve"> Poglavitn</w:t>
      </w:r>
      <w:r w:rsidR="009D35DC" w:rsidRPr="00E948D2">
        <w:t>a</w:t>
      </w:r>
      <w:r w:rsidR="00003ADE" w:rsidRPr="00E948D2">
        <w:t xml:space="preserve"> proizvodn</w:t>
      </w:r>
      <w:r w:rsidR="009D35DC" w:rsidRPr="00E948D2">
        <w:t>a</w:t>
      </w:r>
      <w:r w:rsidR="00003ADE" w:rsidRPr="00E948D2">
        <w:t xml:space="preserve"> vir</w:t>
      </w:r>
      <w:r w:rsidR="009D35DC" w:rsidRPr="00E948D2">
        <w:t>a</w:t>
      </w:r>
      <w:r w:rsidR="00003ADE" w:rsidRPr="00E948D2">
        <w:t xml:space="preserve"> na tem območju </w:t>
      </w:r>
      <w:r w:rsidR="009D35DC" w:rsidRPr="00E948D2">
        <w:t>sta</w:t>
      </w:r>
      <w:r w:rsidR="00003ADE" w:rsidRPr="00E948D2">
        <w:t xml:space="preserve"> sončna energija</w:t>
      </w:r>
      <w:r w:rsidR="009D35DC" w:rsidRPr="00E948D2">
        <w:t xml:space="preserve"> in </w:t>
      </w:r>
      <w:r w:rsidR="00C959B1" w:rsidRPr="00E948D2">
        <w:t>voda</w:t>
      </w:r>
      <w:r w:rsidR="00003ADE" w:rsidRPr="00E948D2">
        <w:t>, manjši delež pa predstavlja</w:t>
      </w:r>
      <w:r w:rsidR="00992CA5" w:rsidRPr="00E948D2">
        <w:t xml:space="preserve">jo drugi viri energije (plin, </w:t>
      </w:r>
      <w:r w:rsidR="00C959B1" w:rsidRPr="00E948D2">
        <w:t>biodizel, biomasa</w:t>
      </w:r>
      <w:r w:rsidR="00992CA5" w:rsidRPr="00E948D2">
        <w:t>)</w:t>
      </w:r>
      <w:r w:rsidR="00003ADE" w:rsidRPr="00E948D2">
        <w:t>.</w:t>
      </w:r>
    </w:p>
    <w:p w:rsidR="004F753F" w:rsidRPr="00E948D2" w:rsidRDefault="004F753F" w:rsidP="009E1D31">
      <w:pPr>
        <w:spacing w:after="0" w:line="240" w:lineRule="auto"/>
        <w:jc w:val="both"/>
      </w:pPr>
    </w:p>
    <w:p w:rsidR="00301065" w:rsidRPr="007441CC" w:rsidRDefault="0032165E" w:rsidP="009E1D31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E948D2">
        <w:t xml:space="preserve">Razmerje med energijo iz prenosnega omrežja in proizvodnimi viri je bilo </w:t>
      </w:r>
      <w:r w:rsidR="00266515" w:rsidRPr="00E948D2">
        <w:t xml:space="preserve">na območju </w:t>
      </w:r>
      <w:r w:rsidR="0008364D" w:rsidRPr="00E948D2">
        <w:t>Slovenske Bistrice</w:t>
      </w:r>
      <w:r w:rsidR="00266515" w:rsidRPr="00E948D2">
        <w:t xml:space="preserve"> </w:t>
      </w:r>
      <w:r w:rsidRPr="00E948D2">
        <w:t>v letu 201</w:t>
      </w:r>
      <w:r w:rsidR="00D92038">
        <w:t>7</w:t>
      </w:r>
      <w:r w:rsidRPr="00E948D2">
        <w:t xml:space="preserve"> </w:t>
      </w:r>
      <w:r w:rsidR="00C959B1" w:rsidRPr="00E948D2">
        <w:t>9</w:t>
      </w:r>
      <w:r w:rsidR="00D92038">
        <w:t>4</w:t>
      </w:r>
      <w:r w:rsidR="001B56CE">
        <w:t xml:space="preserve"> % </w:t>
      </w:r>
      <w:r w:rsidR="00266515" w:rsidRPr="00E948D2">
        <w:t>:</w:t>
      </w:r>
      <w:r w:rsidR="001B56CE">
        <w:t xml:space="preserve"> </w:t>
      </w:r>
      <w:r w:rsidR="00D92038">
        <w:t>6</w:t>
      </w:r>
      <w:r w:rsidR="001B56CE">
        <w:t xml:space="preserve"> %</w:t>
      </w:r>
      <w:r w:rsidR="00266515" w:rsidRPr="00E948D2">
        <w:t>, medtem ko je bilo na celo</w:t>
      </w:r>
      <w:r w:rsidR="00992CA5" w:rsidRPr="00E948D2">
        <w:t>tnem območju Elektr</w:t>
      </w:r>
      <w:r w:rsidR="0008364D" w:rsidRPr="00E948D2">
        <w:t>a</w:t>
      </w:r>
      <w:r w:rsidR="00992CA5" w:rsidRPr="00E948D2">
        <w:t xml:space="preserve"> Maribor</w:t>
      </w:r>
      <w:r w:rsidR="00266515" w:rsidRPr="00E948D2">
        <w:t xml:space="preserve"> </w:t>
      </w:r>
      <w:r w:rsidR="00D92038">
        <w:t>86</w:t>
      </w:r>
      <w:r w:rsidR="001B56CE">
        <w:t xml:space="preserve"> % </w:t>
      </w:r>
      <w:r w:rsidRPr="00E948D2">
        <w:t>:</w:t>
      </w:r>
      <w:r w:rsidR="001B56CE">
        <w:t xml:space="preserve"> </w:t>
      </w:r>
      <w:r w:rsidRPr="00E948D2">
        <w:t>1</w:t>
      </w:r>
      <w:r w:rsidR="00D92038">
        <w:t>4</w:t>
      </w:r>
      <w:r w:rsidR="001B56CE">
        <w:t xml:space="preserve"> %</w:t>
      </w:r>
      <w:r w:rsidR="0011649F" w:rsidRPr="00E948D2">
        <w:t>.</w:t>
      </w:r>
    </w:p>
    <w:p w:rsidR="00C90B88" w:rsidRPr="007441CC" w:rsidRDefault="00C90B88" w:rsidP="009E1D31">
      <w:pPr>
        <w:spacing w:after="0" w:line="240" w:lineRule="auto"/>
        <w:jc w:val="both"/>
      </w:pPr>
    </w:p>
    <w:p w:rsidR="001B56CE" w:rsidRDefault="001B56CE" w:rsidP="000842AC">
      <w:pPr>
        <w:spacing w:after="0" w:line="240" w:lineRule="auto"/>
        <w:jc w:val="center"/>
      </w:pPr>
      <w:r>
        <w:rPr>
          <w:noProof/>
          <w:lang w:eastAsia="sl-SI"/>
        </w:rPr>
        <w:lastRenderedPageBreak/>
        <w:drawing>
          <wp:inline distT="0" distB="0" distL="0" distR="0">
            <wp:extent cx="5086350" cy="3009900"/>
            <wp:effectExtent l="0" t="0" r="0" b="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56CE" w:rsidRDefault="001B56CE" w:rsidP="009E1D31">
      <w:pPr>
        <w:spacing w:after="0" w:line="240" w:lineRule="auto"/>
        <w:jc w:val="both"/>
      </w:pPr>
    </w:p>
    <w:p w:rsidR="00EB30F2" w:rsidRPr="0008364D" w:rsidRDefault="006F1E47" w:rsidP="009E1D31">
      <w:pPr>
        <w:spacing w:after="0" w:line="240" w:lineRule="auto"/>
        <w:jc w:val="both"/>
      </w:pPr>
      <w:r w:rsidRPr="007441CC">
        <w:t>Razpršeni</w:t>
      </w:r>
      <w:r w:rsidR="00B36460" w:rsidRPr="007441CC">
        <w:t xml:space="preserve"> proizvodni</w:t>
      </w:r>
      <w:r w:rsidRPr="007441CC">
        <w:t xml:space="preserve"> viri imajo večplastne učinke. Zahtevajo tudi dodatna vlaganja v obstoječo elektrodistribucijsko infrastrukturo, dodatne ukrepe in aktivnosti pri njihovem vključevanju v omrežje in spremljanju obratovanja, lahko pa tudi negativno vplivajo na kakovost napetosti in zanesljivost obratovanja omrežja. Z nadaljnjimi vlaganji v razvoj omrežja in s stalnim izvajanjem vseh potrebnih ukrepov za zagotavljanje zanesljive in kakovostne oskrbe prebivalcev in gospodarstva z električno energijo bomo nadaljevali tudi v prihodnjih letih.</w:t>
      </w:r>
    </w:p>
    <w:p w:rsidR="00EB30F2" w:rsidRPr="00084060" w:rsidRDefault="00EB30F2" w:rsidP="009E1D31">
      <w:pPr>
        <w:spacing w:after="0" w:line="240" w:lineRule="auto"/>
        <w:jc w:val="both"/>
        <w:rPr>
          <w:highlight w:val="yellow"/>
        </w:rPr>
      </w:pPr>
    </w:p>
    <w:p w:rsidR="00EB30F2" w:rsidRPr="00084060" w:rsidRDefault="00EB30F2" w:rsidP="009E1D31">
      <w:pPr>
        <w:spacing w:after="0" w:line="240" w:lineRule="auto"/>
        <w:jc w:val="both"/>
        <w:rPr>
          <w:highlight w:val="yellow"/>
        </w:rPr>
      </w:pPr>
    </w:p>
    <w:p w:rsidR="00C90B88" w:rsidRPr="0008364D" w:rsidRDefault="00C90B88" w:rsidP="009E1D31">
      <w:pPr>
        <w:spacing w:after="0" w:line="240" w:lineRule="auto"/>
        <w:jc w:val="center"/>
      </w:pPr>
      <w:r w:rsidRPr="0008364D">
        <w:rPr>
          <w:b/>
          <w:color w:val="0070C0"/>
        </w:rPr>
        <w:t>Prevzeta energija na prebivalca</w:t>
      </w:r>
    </w:p>
    <w:p w:rsidR="00C90B88" w:rsidRPr="0008364D" w:rsidRDefault="00C90B88" w:rsidP="009E1D31">
      <w:pPr>
        <w:spacing w:after="0" w:line="240" w:lineRule="auto"/>
        <w:jc w:val="both"/>
      </w:pPr>
    </w:p>
    <w:p w:rsidR="00AA4886" w:rsidRPr="0008364D" w:rsidRDefault="00C90B88" w:rsidP="009E1D31">
      <w:pPr>
        <w:spacing w:after="0" w:line="240" w:lineRule="auto"/>
        <w:jc w:val="both"/>
      </w:pPr>
      <w:r w:rsidRPr="00AA4886">
        <w:t>Skupna povpre</w:t>
      </w:r>
      <w:r w:rsidRPr="00AA4886">
        <w:rPr>
          <w:rFonts w:cs="Calibri"/>
        </w:rPr>
        <w:t>č</w:t>
      </w:r>
      <w:r w:rsidRPr="00AA4886">
        <w:t>no prevzeta energija na odjemalca na celotnem obmo</w:t>
      </w:r>
      <w:r w:rsidRPr="00AA4886">
        <w:rPr>
          <w:rFonts w:cs="Calibri"/>
        </w:rPr>
        <w:t>č</w:t>
      </w:r>
      <w:r w:rsidRPr="00AA4886">
        <w:t>ju</w:t>
      </w:r>
      <w:r w:rsidR="00D92038">
        <w:t xml:space="preserve"> Elektra Maribora je v letu 2017 dosegla 10,9</w:t>
      </w:r>
      <w:r w:rsidRPr="00AA4886">
        <w:t xml:space="preserve"> MWh. </w:t>
      </w:r>
      <w:r w:rsidR="00AA4886" w:rsidRPr="00AA4886">
        <w:t>Na območju Slovenske Bistrice pa je bila povprečna pre</w:t>
      </w:r>
      <w:r w:rsidR="00D92038">
        <w:t>vzeta energija na odjemalca 15,6</w:t>
      </w:r>
      <w:r w:rsidR="00AA4886" w:rsidRPr="00AA4886">
        <w:t xml:space="preserve"> MWh, kar je kar 42 % nad povprečjem družbe.</w:t>
      </w:r>
    </w:p>
    <w:p w:rsidR="00C90B88" w:rsidRPr="0008364D" w:rsidRDefault="00C90B88" w:rsidP="009E1D31">
      <w:pPr>
        <w:spacing w:after="0" w:line="240" w:lineRule="auto"/>
        <w:jc w:val="both"/>
      </w:pPr>
    </w:p>
    <w:p w:rsidR="00405BA1" w:rsidRPr="0008364D" w:rsidRDefault="00D92038" w:rsidP="00AA4886">
      <w:pPr>
        <w:spacing w:after="0" w:line="240" w:lineRule="auto"/>
        <w:jc w:val="center"/>
      </w:pPr>
      <w:r>
        <w:rPr>
          <w:noProof/>
          <w:lang w:eastAsia="sl-SI"/>
        </w:rPr>
        <w:drawing>
          <wp:inline distT="0" distB="0" distL="0" distR="0" wp14:anchorId="528A8055" wp14:editId="4DE54ECD">
            <wp:extent cx="5095875" cy="3124200"/>
            <wp:effectExtent l="0" t="0" r="9525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2038" w:rsidRDefault="00D92038" w:rsidP="009E1D31">
      <w:pPr>
        <w:spacing w:after="0" w:line="240" w:lineRule="auto"/>
        <w:jc w:val="both"/>
        <w:rPr>
          <w:b/>
        </w:rPr>
      </w:pPr>
    </w:p>
    <w:sectPr w:rsidR="00D9203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1A" w:rsidRDefault="00BE5A1A" w:rsidP="001D0E69">
      <w:pPr>
        <w:spacing w:after="0" w:line="240" w:lineRule="auto"/>
      </w:pPr>
      <w:r>
        <w:separator/>
      </w:r>
    </w:p>
  </w:endnote>
  <w:endnote w:type="continuationSeparator" w:id="0">
    <w:p w:rsidR="00BE5A1A" w:rsidRDefault="00BE5A1A" w:rsidP="001D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078828"/>
      <w:docPartObj>
        <w:docPartGallery w:val="Page Numbers (Bottom of Page)"/>
        <w:docPartUnique/>
      </w:docPartObj>
    </w:sdtPr>
    <w:sdtEndPr/>
    <w:sdtContent>
      <w:p w:rsidR="00370B49" w:rsidRDefault="00370B4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6D6">
          <w:rPr>
            <w:noProof/>
          </w:rPr>
          <w:t>1</w:t>
        </w:r>
        <w:r>
          <w:fldChar w:fldCharType="end"/>
        </w:r>
      </w:p>
    </w:sdtContent>
  </w:sdt>
  <w:p w:rsidR="00370B49" w:rsidRDefault="00370B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1A" w:rsidRDefault="00BE5A1A" w:rsidP="001D0E69">
      <w:pPr>
        <w:spacing w:after="0" w:line="240" w:lineRule="auto"/>
      </w:pPr>
      <w:r>
        <w:separator/>
      </w:r>
    </w:p>
  </w:footnote>
  <w:footnote w:type="continuationSeparator" w:id="0">
    <w:p w:rsidR="00BE5A1A" w:rsidRDefault="00BE5A1A" w:rsidP="001D0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1973"/>
    <w:multiLevelType w:val="hybridMultilevel"/>
    <w:tmpl w:val="31DE7820"/>
    <w:lvl w:ilvl="0" w:tplc="242E3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4"/>
    <w:rsid w:val="00003ADE"/>
    <w:rsid w:val="00011E0E"/>
    <w:rsid w:val="0001337D"/>
    <w:rsid w:val="000223AE"/>
    <w:rsid w:val="0002307E"/>
    <w:rsid w:val="00030438"/>
    <w:rsid w:val="00033080"/>
    <w:rsid w:val="00056BEB"/>
    <w:rsid w:val="00056C7C"/>
    <w:rsid w:val="00061FCE"/>
    <w:rsid w:val="000708B3"/>
    <w:rsid w:val="00072838"/>
    <w:rsid w:val="00076C0B"/>
    <w:rsid w:val="000823CD"/>
    <w:rsid w:val="0008364D"/>
    <w:rsid w:val="00084060"/>
    <w:rsid w:val="000842AC"/>
    <w:rsid w:val="00092DED"/>
    <w:rsid w:val="000A59FF"/>
    <w:rsid w:val="000A627D"/>
    <w:rsid w:val="000A750A"/>
    <w:rsid w:val="000B247F"/>
    <w:rsid w:val="000B2F30"/>
    <w:rsid w:val="000B547D"/>
    <w:rsid w:val="000E0E3F"/>
    <w:rsid w:val="000F5DEF"/>
    <w:rsid w:val="000F7703"/>
    <w:rsid w:val="00104721"/>
    <w:rsid w:val="0010633B"/>
    <w:rsid w:val="00107D0C"/>
    <w:rsid w:val="0011649F"/>
    <w:rsid w:val="00126377"/>
    <w:rsid w:val="00126BDB"/>
    <w:rsid w:val="001330AC"/>
    <w:rsid w:val="00133E86"/>
    <w:rsid w:val="00140592"/>
    <w:rsid w:val="00176AE6"/>
    <w:rsid w:val="00176F46"/>
    <w:rsid w:val="00180EFB"/>
    <w:rsid w:val="00193567"/>
    <w:rsid w:val="001A0314"/>
    <w:rsid w:val="001A17DE"/>
    <w:rsid w:val="001B56CE"/>
    <w:rsid w:val="001B58DA"/>
    <w:rsid w:val="001C22FE"/>
    <w:rsid w:val="001C380E"/>
    <w:rsid w:val="001C5799"/>
    <w:rsid w:val="001C620F"/>
    <w:rsid w:val="001D0E69"/>
    <w:rsid w:val="001F0036"/>
    <w:rsid w:val="002028B2"/>
    <w:rsid w:val="0021067E"/>
    <w:rsid w:val="00210A71"/>
    <w:rsid w:val="002113E4"/>
    <w:rsid w:val="00214CF0"/>
    <w:rsid w:val="00216992"/>
    <w:rsid w:val="002255AB"/>
    <w:rsid w:val="00247832"/>
    <w:rsid w:val="00250DE1"/>
    <w:rsid w:val="002527A5"/>
    <w:rsid w:val="00256E34"/>
    <w:rsid w:val="00257055"/>
    <w:rsid w:val="00257EB6"/>
    <w:rsid w:val="00266515"/>
    <w:rsid w:val="002705C9"/>
    <w:rsid w:val="00294C29"/>
    <w:rsid w:val="002A3AF6"/>
    <w:rsid w:val="002A444F"/>
    <w:rsid w:val="002C0542"/>
    <w:rsid w:val="002C2039"/>
    <w:rsid w:val="002C7A9E"/>
    <w:rsid w:val="002E19C0"/>
    <w:rsid w:val="002E3DB6"/>
    <w:rsid w:val="002F13EF"/>
    <w:rsid w:val="00301065"/>
    <w:rsid w:val="003018C9"/>
    <w:rsid w:val="0030482D"/>
    <w:rsid w:val="00307D92"/>
    <w:rsid w:val="003126CE"/>
    <w:rsid w:val="00312F46"/>
    <w:rsid w:val="0032165E"/>
    <w:rsid w:val="003239D4"/>
    <w:rsid w:val="00326809"/>
    <w:rsid w:val="00332FBD"/>
    <w:rsid w:val="00333D4C"/>
    <w:rsid w:val="00335DB7"/>
    <w:rsid w:val="003446B7"/>
    <w:rsid w:val="00345825"/>
    <w:rsid w:val="00346843"/>
    <w:rsid w:val="00366F2C"/>
    <w:rsid w:val="00370B49"/>
    <w:rsid w:val="00371AE3"/>
    <w:rsid w:val="00374B35"/>
    <w:rsid w:val="00382F1D"/>
    <w:rsid w:val="00385392"/>
    <w:rsid w:val="00391731"/>
    <w:rsid w:val="003931C7"/>
    <w:rsid w:val="003A03E3"/>
    <w:rsid w:val="003A723F"/>
    <w:rsid w:val="003B7766"/>
    <w:rsid w:val="003C1464"/>
    <w:rsid w:val="003C1C2A"/>
    <w:rsid w:val="003C7DD1"/>
    <w:rsid w:val="003C7EDE"/>
    <w:rsid w:val="003D6BE4"/>
    <w:rsid w:val="003E08C5"/>
    <w:rsid w:val="003F2BBA"/>
    <w:rsid w:val="0040078A"/>
    <w:rsid w:val="00401078"/>
    <w:rsid w:val="004024A7"/>
    <w:rsid w:val="00402E52"/>
    <w:rsid w:val="00405BA1"/>
    <w:rsid w:val="00405C9A"/>
    <w:rsid w:val="00407387"/>
    <w:rsid w:val="00426B8F"/>
    <w:rsid w:val="00426ED5"/>
    <w:rsid w:val="00441FCB"/>
    <w:rsid w:val="00447236"/>
    <w:rsid w:val="00470BC3"/>
    <w:rsid w:val="00475247"/>
    <w:rsid w:val="0048269D"/>
    <w:rsid w:val="00483069"/>
    <w:rsid w:val="0048460C"/>
    <w:rsid w:val="00485B76"/>
    <w:rsid w:val="004B31E9"/>
    <w:rsid w:val="004D0F97"/>
    <w:rsid w:val="004D191C"/>
    <w:rsid w:val="004D3BDB"/>
    <w:rsid w:val="004D4000"/>
    <w:rsid w:val="004D7573"/>
    <w:rsid w:val="004E352A"/>
    <w:rsid w:val="004F5E20"/>
    <w:rsid w:val="004F753F"/>
    <w:rsid w:val="0050217C"/>
    <w:rsid w:val="00504AF3"/>
    <w:rsid w:val="00510320"/>
    <w:rsid w:val="0051548C"/>
    <w:rsid w:val="00517BE7"/>
    <w:rsid w:val="005269B7"/>
    <w:rsid w:val="00551EA7"/>
    <w:rsid w:val="00552A52"/>
    <w:rsid w:val="00553C64"/>
    <w:rsid w:val="00563CC7"/>
    <w:rsid w:val="00573B11"/>
    <w:rsid w:val="005869F8"/>
    <w:rsid w:val="005927B2"/>
    <w:rsid w:val="005B03C1"/>
    <w:rsid w:val="005B09E9"/>
    <w:rsid w:val="005D4300"/>
    <w:rsid w:val="005F5E38"/>
    <w:rsid w:val="00601C35"/>
    <w:rsid w:val="0060698E"/>
    <w:rsid w:val="00642AB2"/>
    <w:rsid w:val="00653C3E"/>
    <w:rsid w:val="0066761B"/>
    <w:rsid w:val="0067025F"/>
    <w:rsid w:val="00673BF4"/>
    <w:rsid w:val="00673CB1"/>
    <w:rsid w:val="00674C53"/>
    <w:rsid w:val="00676193"/>
    <w:rsid w:val="00690123"/>
    <w:rsid w:val="006A2AE6"/>
    <w:rsid w:val="006B06EC"/>
    <w:rsid w:val="006B548A"/>
    <w:rsid w:val="006D2BEE"/>
    <w:rsid w:val="006D73C8"/>
    <w:rsid w:val="006F094F"/>
    <w:rsid w:val="006F0A67"/>
    <w:rsid w:val="006F1E47"/>
    <w:rsid w:val="00710468"/>
    <w:rsid w:val="00711F12"/>
    <w:rsid w:val="00722225"/>
    <w:rsid w:val="0072586E"/>
    <w:rsid w:val="00740EAD"/>
    <w:rsid w:val="00740F7B"/>
    <w:rsid w:val="00742399"/>
    <w:rsid w:val="007441CC"/>
    <w:rsid w:val="007469EC"/>
    <w:rsid w:val="0074739A"/>
    <w:rsid w:val="007523AB"/>
    <w:rsid w:val="00755A49"/>
    <w:rsid w:val="007640E4"/>
    <w:rsid w:val="007644A7"/>
    <w:rsid w:val="00767D68"/>
    <w:rsid w:val="007815EC"/>
    <w:rsid w:val="0079122C"/>
    <w:rsid w:val="007931F6"/>
    <w:rsid w:val="007948EF"/>
    <w:rsid w:val="00797115"/>
    <w:rsid w:val="007A4B17"/>
    <w:rsid w:val="007B30BA"/>
    <w:rsid w:val="007B33C9"/>
    <w:rsid w:val="007D0F8B"/>
    <w:rsid w:val="007D5FF0"/>
    <w:rsid w:val="007D6E70"/>
    <w:rsid w:val="007E00BC"/>
    <w:rsid w:val="007E2CC6"/>
    <w:rsid w:val="007F5ACA"/>
    <w:rsid w:val="00800A7F"/>
    <w:rsid w:val="0081512D"/>
    <w:rsid w:val="00820561"/>
    <w:rsid w:val="00825039"/>
    <w:rsid w:val="0083012B"/>
    <w:rsid w:val="00841925"/>
    <w:rsid w:val="00852D6B"/>
    <w:rsid w:val="008549E6"/>
    <w:rsid w:val="00855278"/>
    <w:rsid w:val="0088158E"/>
    <w:rsid w:val="00882024"/>
    <w:rsid w:val="00884F6E"/>
    <w:rsid w:val="008A169D"/>
    <w:rsid w:val="008A29BD"/>
    <w:rsid w:val="008C23E8"/>
    <w:rsid w:val="008D320D"/>
    <w:rsid w:val="008E1360"/>
    <w:rsid w:val="008E4558"/>
    <w:rsid w:val="008E63D7"/>
    <w:rsid w:val="008F1C27"/>
    <w:rsid w:val="00900ECC"/>
    <w:rsid w:val="00906E02"/>
    <w:rsid w:val="00916959"/>
    <w:rsid w:val="009320A9"/>
    <w:rsid w:val="00933F7D"/>
    <w:rsid w:val="0093597E"/>
    <w:rsid w:val="00944266"/>
    <w:rsid w:val="009447CE"/>
    <w:rsid w:val="009555D0"/>
    <w:rsid w:val="0095575A"/>
    <w:rsid w:val="0097031D"/>
    <w:rsid w:val="0097043F"/>
    <w:rsid w:val="00972483"/>
    <w:rsid w:val="00982624"/>
    <w:rsid w:val="00986EA2"/>
    <w:rsid w:val="00992CA5"/>
    <w:rsid w:val="00996412"/>
    <w:rsid w:val="009A5E54"/>
    <w:rsid w:val="009A607E"/>
    <w:rsid w:val="009A6E5B"/>
    <w:rsid w:val="009B564D"/>
    <w:rsid w:val="009D35DC"/>
    <w:rsid w:val="009E1D31"/>
    <w:rsid w:val="009F022F"/>
    <w:rsid w:val="009F4F46"/>
    <w:rsid w:val="009F7124"/>
    <w:rsid w:val="00A02FA0"/>
    <w:rsid w:val="00A06046"/>
    <w:rsid w:val="00A077D6"/>
    <w:rsid w:val="00A151DB"/>
    <w:rsid w:val="00A173E9"/>
    <w:rsid w:val="00A267A3"/>
    <w:rsid w:val="00A35B81"/>
    <w:rsid w:val="00A40D70"/>
    <w:rsid w:val="00A67B73"/>
    <w:rsid w:val="00A75B12"/>
    <w:rsid w:val="00A80944"/>
    <w:rsid w:val="00A90B20"/>
    <w:rsid w:val="00AA266C"/>
    <w:rsid w:val="00AA2A26"/>
    <w:rsid w:val="00AA4886"/>
    <w:rsid w:val="00AB6D25"/>
    <w:rsid w:val="00AD2BFA"/>
    <w:rsid w:val="00AD449C"/>
    <w:rsid w:val="00AD6BEA"/>
    <w:rsid w:val="00AE3918"/>
    <w:rsid w:val="00AE6AA3"/>
    <w:rsid w:val="00B0681B"/>
    <w:rsid w:val="00B06D17"/>
    <w:rsid w:val="00B21A7C"/>
    <w:rsid w:val="00B24162"/>
    <w:rsid w:val="00B25F14"/>
    <w:rsid w:val="00B36460"/>
    <w:rsid w:val="00B37AB1"/>
    <w:rsid w:val="00B42662"/>
    <w:rsid w:val="00B611AB"/>
    <w:rsid w:val="00B6699C"/>
    <w:rsid w:val="00B71491"/>
    <w:rsid w:val="00B748BB"/>
    <w:rsid w:val="00B82369"/>
    <w:rsid w:val="00B9149F"/>
    <w:rsid w:val="00BA0A73"/>
    <w:rsid w:val="00BA33C9"/>
    <w:rsid w:val="00BA6B23"/>
    <w:rsid w:val="00BB14B9"/>
    <w:rsid w:val="00BB1966"/>
    <w:rsid w:val="00BB45B2"/>
    <w:rsid w:val="00BC558F"/>
    <w:rsid w:val="00BD30A7"/>
    <w:rsid w:val="00BD32D0"/>
    <w:rsid w:val="00BD4EDC"/>
    <w:rsid w:val="00BE2181"/>
    <w:rsid w:val="00BE5A1A"/>
    <w:rsid w:val="00C02319"/>
    <w:rsid w:val="00C03FC1"/>
    <w:rsid w:val="00C046A5"/>
    <w:rsid w:val="00C070BC"/>
    <w:rsid w:val="00C2147C"/>
    <w:rsid w:val="00C25895"/>
    <w:rsid w:val="00C26C45"/>
    <w:rsid w:val="00C26C4D"/>
    <w:rsid w:val="00C31A77"/>
    <w:rsid w:val="00C360DB"/>
    <w:rsid w:val="00C601E3"/>
    <w:rsid w:val="00C751C3"/>
    <w:rsid w:val="00C75F38"/>
    <w:rsid w:val="00C83482"/>
    <w:rsid w:val="00C856B5"/>
    <w:rsid w:val="00C90B88"/>
    <w:rsid w:val="00C920BD"/>
    <w:rsid w:val="00C959B1"/>
    <w:rsid w:val="00CA7281"/>
    <w:rsid w:val="00CB76D4"/>
    <w:rsid w:val="00CC1B3E"/>
    <w:rsid w:val="00CC1C26"/>
    <w:rsid w:val="00CC4212"/>
    <w:rsid w:val="00CD3E63"/>
    <w:rsid w:val="00CD4BFD"/>
    <w:rsid w:val="00CE00FA"/>
    <w:rsid w:val="00CF5712"/>
    <w:rsid w:val="00CF58A3"/>
    <w:rsid w:val="00CF5DD9"/>
    <w:rsid w:val="00D00913"/>
    <w:rsid w:val="00D048A5"/>
    <w:rsid w:val="00D16670"/>
    <w:rsid w:val="00D42E60"/>
    <w:rsid w:val="00D572DD"/>
    <w:rsid w:val="00D7164E"/>
    <w:rsid w:val="00D762A9"/>
    <w:rsid w:val="00D84944"/>
    <w:rsid w:val="00D85CC3"/>
    <w:rsid w:val="00D92038"/>
    <w:rsid w:val="00D96EEC"/>
    <w:rsid w:val="00DC0F16"/>
    <w:rsid w:val="00DC1F69"/>
    <w:rsid w:val="00DC3578"/>
    <w:rsid w:val="00DC42BA"/>
    <w:rsid w:val="00DE7204"/>
    <w:rsid w:val="00E00158"/>
    <w:rsid w:val="00E0024E"/>
    <w:rsid w:val="00E12C3D"/>
    <w:rsid w:val="00E31FC5"/>
    <w:rsid w:val="00E37C99"/>
    <w:rsid w:val="00E37EA7"/>
    <w:rsid w:val="00E4121C"/>
    <w:rsid w:val="00E46AB3"/>
    <w:rsid w:val="00E574AF"/>
    <w:rsid w:val="00E601B5"/>
    <w:rsid w:val="00E655B1"/>
    <w:rsid w:val="00E713E4"/>
    <w:rsid w:val="00E77BF9"/>
    <w:rsid w:val="00E8465A"/>
    <w:rsid w:val="00E948D2"/>
    <w:rsid w:val="00E97E56"/>
    <w:rsid w:val="00EB30F2"/>
    <w:rsid w:val="00EC1EB4"/>
    <w:rsid w:val="00EC3CD2"/>
    <w:rsid w:val="00EC5EF6"/>
    <w:rsid w:val="00ED2DFF"/>
    <w:rsid w:val="00ED5570"/>
    <w:rsid w:val="00EE1A2E"/>
    <w:rsid w:val="00EF08EE"/>
    <w:rsid w:val="00F03AAB"/>
    <w:rsid w:val="00F075D2"/>
    <w:rsid w:val="00F1415C"/>
    <w:rsid w:val="00F17C70"/>
    <w:rsid w:val="00F21FEE"/>
    <w:rsid w:val="00F228A3"/>
    <w:rsid w:val="00F31D21"/>
    <w:rsid w:val="00F326D6"/>
    <w:rsid w:val="00F37CAB"/>
    <w:rsid w:val="00F45AA4"/>
    <w:rsid w:val="00F47221"/>
    <w:rsid w:val="00F50D9A"/>
    <w:rsid w:val="00F74302"/>
    <w:rsid w:val="00F75B69"/>
    <w:rsid w:val="00F77947"/>
    <w:rsid w:val="00F8382D"/>
    <w:rsid w:val="00F9180B"/>
    <w:rsid w:val="00F91A99"/>
    <w:rsid w:val="00F964AC"/>
    <w:rsid w:val="00FA2DDF"/>
    <w:rsid w:val="00FB6613"/>
    <w:rsid w:val="00FC2D9D"/>
    <w:rsid w:val="00FD02A8"/>
    <w:rsid w:val="00FD13E3"/>
    <w:rsid w:val="00FE19DB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C35C"/>
  <w15:docId w15:val="{E8F44720-CAE0-40A7-BC10-73EF46EF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753F"/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0F5D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5AA4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rsid w:val="000F5D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udarek">
    <w:name w:val="Emphasis"/>
    <w:basedOn w:val="Privzetapisavaodstavka"/>
    <w:uiPriority w:val="20"/>
    <w:qFormat/>
    <w:rsid w:val="000F5DEF"/>
    <w:rPr>
      <w:b/>
      <w:bCs/>
      <w:i w:val="0"/>
      <w:iCs w:val="0"/>
    </w:rPr>
  </w:style>
  <w:style w:type="character" w:customStyle="1" w:styleId="st">
    <w:name w:val="st"/>
    <w:basedOn w:val="Privzetapisavaodstavka"/>
    <w:rsid w:val="000F5DEF"/>
  </w:style>
  <w:style w:type="character" w:styleId="Pripombasklic">
    <w:name w:val="annotation reference"/>
    <w:basedOn w:val="Privzetapisavaodstavka"/>
    <w:uiPriority w:val="99"/>
    <w:semiHidden/>
    <w:unhideWhenUsed/>
    <w:rsid w:val="003C7E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C7ED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C7E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C7E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C7ED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0E69"/>
  </w:style>
  <w:style w:type="paragraph" w:styleId="Noga">
    <w:name w:val="footer"/>
    <w:basedOn w:val="Navaden"/>
    <w:link w:val="NogaZnak"/>
    <w:uiPriority w:val="99"/>
    <w:unhideWhenUsed/>
    <w:rsid w:val="001D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0E69"/>
  </w:style>
  <w:style w:type="table" w:styleId="Tabelamrea">
    <w:name w:val="Table Grid"/>
    <w:basedOn w:val="Navadnatabela"/>
    <w:uiPriority w:val="59"/>
    <w:rsid w:val="009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753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03ADE"/>
    <w:rPr>
      <w:color w:val="800080" w:themeColor="followedHyperlink"/>
      <w:u w:val="single"/>
    </w:rPr>
  </w:style>
  <w:style w:type="paragraph" w:styleId="Odstavekseznama">
    <w:name w:val="List Paragraph"/>
    <w:aliases w:val="UEDAŞ Bullet,abc siralı"/>
    <w:basedOn w:val="Navaden"/>
    <w:link w:val="OdstavekseznamaZnak"/>
    <w:uiPriority w:val="34"/>
    <w:qFormat/>
    <w:rsid w:val="00D92038"/>
    <w:pPr>
      <w:spacing w:after="0" w:line="192" w:lineRule="atLeast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OdstavekseznamaZnak">
    <w:name w:val="Odstavek seznama Znak"/>
    <w:aliases w:val="UEDAŞ Bullet Znak,abc siralı Znak"/>
    <w:link w:val="Odstavekseznama"/>
    <w:uiPriority w:val="34"/>
    <w:rsid w:val="00D9203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3621\Desktop\Nova%20mapa\Distribuirana%20ee%202005-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3621\Desktop\Nova%20mapa\Distribuirana%20ee%202005-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m3621\Desktop\Nova%20mapa\Distribuirana%20ee%202005-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Konična obremenitev na območju OE Slovenska Bistrica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'konična moč po OE'!$A$3</c:f>
              <c:strCache>
                <c:ptCount val="1"/>
                <c:pt idx="0">
                  <c:v>OE Slovenska Bistrica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'konična moč po OE'!$B$1:$N$1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'konična moč po OE'!$B$3:$N$3</c:f>
              <c:numCache>
                <c:formatCode>0</c:formatCode>
                <c:ptCount val="13"/>
                <c:pt idx="0">
                  <c:v>70.983182724973673</c:v>
                </c:pt>
                <c:pt idx="1">
                  <c:v>79.511822139250668</c:v>
                </c:pt>
                <c:pt idx="2">
                  <c:v>81.13562265609113</c:v>
                </c:pt>
                <c:pt idx="3">
                  <c:v>81.760343478260879</c:v>
                </c:pt>
                <c:pt idx="4">
                  <c:v>82.355273913043476</c:v>
                </c:pt>
                <c:pt idx="5">
                  <c:v>82.639552198671822</c:v>
                </c:pt>
                <c:pt idx="6">
                  <c:v>84.595349999999996</c:v>
                </c:pt>
                <c:pt idx="7">
                  <c:v>86.153000000000006</c:v>
                </c:pt>
                <c:pt idx="8">
                  <c:v>82.561369999999997</c:v>
                </c:pt>
                <c:pt idx="9">
                  <c:v>84.895110000000003</c:v>
                </c:pt>
                <c:pt idx="10">
                  <c:v>84</c:v>
                </c:pt>
                <c:pt idx="11">
                  <c:v>89</c:v>
                </c:pt>
                <c:pt idx="12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2D-460A-8942-A2B4234BE0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91716840"/>
        <c:axId val="491715856"/>
      </c:barChart>
      <c:catAx>
        <c:axId val="491716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91715856"/>
        <c:crosses val="autoZero"/>
        <c:auto val="1"/>
        <c:lblAlgn val="ctr"/>
        <c:lblOffset val="100"/>
        <c:noMultiLvlLbl val="0"/>
      </c:catAx>
      <c:valAx>
        <c:axId val="491715856"/>
        <c:scaling>
          <c:orientation val="minMax"/>
          <c:min val="7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cap="none" baseline="0"/>
                  <a:t>Konična obremenitev</a:t>
                </a:r>
              </a:p>
              <a:p>
                <a:pPr>
                  <a:defRPr/>
                </a:pPr>
                <a:r>
                  <a:rPr lang="sl-SI" cap="none" baseline="0"/>
                  <a:t>[MW]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91716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Distribuirana električna energija </a:t>
            </a:r>
            <a:endParaRPr lang="sl-SI"/>
          </a:p>
          <a:p>
            <a:pPr>
              <a:defRPr/>
            </a:pPr>
            <a:r>
              <a:rPr lang="en-US"/>
              <a:t>na območju OE</a:t>
            </a:r>
            <a:r>
              <a:rPr lang="sl-SI"/>
              <a:t> Slovenska Bistrica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'Poraba po OE 2005-2017'!$A$3</c:f>
              <c:strCache>
                <c:ptCount val="1"/>
                <c:pt idx="0">
                  <c:v>OE Slovenska Bistrica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'Poraba po OE 2005-2017'!$B$1:$N$1</c:f>
              <c:numCache>
                <c:formatCode>General</c:formatCode>
                <c:ptCount val="13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</c:v>
                </c:pt>
              </c:numCache>
            </c:numRef>
          </c:cat>
          <c:val>
            <c:numRef>
              <c:f>'Poraba po OE 2005-2017'!$B$3:$N$3</c:f>
              <c:numCache>
                <c:formatCode>#,##0</c:formatCode>
                <c:ptCount val="13"/>
                <c:pt idx="0">
                  <c:v>388423.09499999997</c:v>
                </c:pt>
                <c:pt idx="1">
                  <c:v>416262.36200000002</c:v>
                </c:pt>
                <c:pt idx="2">
                  <c:v>434017.52299999999</c:v>
                </c:pt>
                <c:pt idx="3">
                  <c:v>436539.571</c:v>
                </c:pt>
                <c:pt idx="4">
                  <c:v>411631.50599999999</c:v>
                </c:pt>
                <c:pt idx="5">
                  <c:v>448711.17</c:v>
                </c:pt>
                <c:pt idx="6">
                  <c:v>464629.61599999998</c:v>
                </c:pt>
                <c:pt idx="7">
                  <c:v>452427.87900000002</c:v>
                </c:pt>
                <c:pt idx="8">
                  <c:v>455880.72200000001</c:v>
                </c:pt>
                <c:pt idx="9">
                  <c:v>460005.94500000001</c:v>
                </c:pt>
                <c:pt idx="10">
                  <c:v>476150.28200000001</c:v>
                </c:pt>
                <c:pt idx="11">
                  <c:v>486836.353</c:v>
                </c:pt>
                <c:pt idx="12">
                  <c:v>501652.18099999998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4D-40C8-A1F7-D783484028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0626560"/>
        <c:axId val="30628096"/>
      </c:barChart>
      <c:catAx>
        <c:axId val="30626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0628096"/>
        <c:crosses val="autoZero"/>
        <c:auto val="1"/>
        <c:lblAlgn val="ctr"/>
        <c:lblOffset val="100"/>
        <c:noMultiLvlLbl val="0"/>
      </c:catAx>
      <c:valAx>
        <c:axId val="3062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cap="none" baseline="0"/>
                  <a:t>Distribuirana energija</a:t>
                </a:r>
              </a:p>
              <a:p>
                <a:pPr>
                  <a:defRPr cap="none"/>
                </a:pPr>
                <a:r>
                  <a:rPr lang="sl-SI" cap="none" baseline="0"/>
                  <a:t>[GWh]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0626560"/>
        <c:crosses val="autoZero"/>
        <c:crossBetween val="between"/>
        <c:dispUnits>
          <c:builtInUnit val="thousands"/>
        </c:dispUnits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Poreklo energije </a:t>
            </a:r>
          </a:p>
          <a:p>
            <a:pPr>
              <a:defRPr/>
            </a:pPr>
            <a:r>
              <a:rPr lang="sl-SI"/>
              <a:t>na območju OE Slovenska Bistrica v letu </a:t>
            </a:r>
            <a:r>
              <a:rPr lang="en-US"/>
              <a:t>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2017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842-4E59-BEF6-C42A563C0C05}"/>
              </c:ext>
            </c:extLst>
          </c:dPt>
          <c:dPt>
            <c:idx val="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 w="9525" cap="flat" cmpd="sng" algn="ctr">
                <a:solidFill>
                  <a:schemeClr val="accent3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842-4E59-BEF6-C42A563C0C05}"/>
              </c:ext>
            </c:extLst>
          </c:dPt>
          <c:dLbls>
            <c:dLbl>
              <c:idx val="0"/>
              <c:layout>
                <c:manualLayout>
                  <c:x val="-4.2056357538641002E-2"/>
                  <c:y val="-0.195614923134608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42-4E59-BEF6-C42A563C0C05}"/>
                </c:ext>
              </c:extLst>
            </c:dLbl>
            <c:dLbl>
              <c:idx val="1"/>
              <c:layout>
                <c:manualLayout>
                  <c:x val="3.001029819189268E-2"/>
                  <c:y val="0.107169103862017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42-4E59-BEF6-C42A563C0C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Energija iz prenosnega omrežja</c:v>
                </c:pt>
                <c:pt idx="1">
                  <c:v>Lokalni proizvodni viri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94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2-4E59-BEF6-C42A563C0C0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Prevzeta e</a:t>
            </a:r>
            <a:r>
              <a:rPr lang="sl-SI"/>
              <a:t>lektrična energija </a:t>
            </a:r>
            <a:r>
              <a:rPr lang="en-US"/>
              <a:t>na </a:t>
            </a:r>
            <a:r>
              <a:rPr lang="sl-SI"/>
              <a:t>merilno mesto v letu 2017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'Skupna prevzeta ee po OE'!$C$10</c:f>
              <c:strCache>
                <c:ptCount val="1"/>
                <c:pt idx="0">
                  <c:v>Energija v MWh / merilno mesto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3C3-49DA-A28D-F0324754090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'Skupna prevzeta ee po OE'!$A$11:$A$16</c:f>
              <c:strCache>
                <c:ptCount val="6"/>
                <c:pt idx="0">
                  <c:v>OE Maribor z okolico</c:v>
                </c:pt>
                <c:pt idx="1">
                  <c:v>OE Slovenska Bistrica</c:v>
                </c:pt>
                <c:pt idx="2">
                  <c:v>OE Ptuj</c:v>
                </c:pt>
                <c:pt idx="3">
                  <c:v>OE Gornja Radgona</c:v>
                </c:pt>
                <c:pt idx="4">
                  <c:v>OE Murska Sobota</c:v>
                </c:pt>
                <c:pt idx="5">
                  <c:v>ELEKTRO MARIBOR</c:v>
                </c:pt>
              </c:strCache>
            </c:strRef>
          </c:cat>
          <c:val>
            <c:numRef>
              <c:f>'Skupna prevzeta ee po OE'!$C$11:$C$16</c:f>
              <c:numCache>
                <c:formatCode>0.0</c:formatCode>
                <c:ptCount val="6"/>
                <c:pt idx="0">
                  <c:v>10.539251732836149</c:v>
                </c:pt>
                <c:pt idx="1">
                  <c:v>15.560568184570668</c:v>
                </c:pt>
                <c:pt idx="2">
                  <c:v>8.7306373032429345</c:v>
                </c:pt>
                <c:pt idx="3">
                  <c:v>10.925649532224535</c:v>
                </c:pt>
                <c:pt idx="4">
                  <c:v>9.9398906395063094</c:v>
                </c:pt>
                <c:pt idx="5">
                  <c:v>10.92901288361654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C3-49DA-A28D-F032475409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27103880"/>
        <c:axId val="427105192"/>
      </c:barChart>
      <c:catAx>
        <c:axId val="427103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27105192"/>
        <c:crosses val="autoZero"/>
        <c:auto val="1"/>
        <c:lblAlgn val="ctr"/>
        <c:lblOffset val="100"/>
        <c:noMultiLvlLbl val="0"/>
      </c:catAx>
      <c:valAx>
        <c:axId val="427105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cap="none" baseline="0"/>
                  <a:t>Prevzeta energija</a:t>
                </a:r>
              </a:p>
              <a:p>
                <a:pPr>
                  <a:defRPr cap="none"/>
                </a:pPr>
                <a:r>
                  <a:rPr lang="sl-SI" cap="none" baseline="0"/>
                  <a:t>[MWh/merilno mesto]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none" baseline="0">
                  <a:solidFill>
                    <a:schemeClr val="tx1">
                      <a:lumMod val="50000"/>
                      <a:lumOff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27103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E0D4-086C-4647-970D-310638C3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Prešern Mitja</dc:creator>
  <cp:lastModifiedBy>Zagomilšek Cizelj Karin</cp:lastModifiedBy>
  <cp:revision>3</cp:revision>
  <cp:lastPrinted>2016-05-26T06:30:00Z</cp:lastPrinted>
  <dcterms:created xsi:type="dcterms:W3CDTF">2018-06-28T09:27:00Z</dcterms:created>
  <dcterms:modified xsi:type="dcterms:W3CDTF">2018-06-29T05:07:00Z</dcterms:modified>
</cp:coreProperties>
</file>