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3E" w:rsidRPr="00DC3578" w:rsidRDefault="00653C3E" w:rsidP="00E91206">
      <w:pPr>
        <w:spacing w:after="0" w:line="240" w:lineRule="auto"/>
        <w:jc w:val="center"/>
        <w:rPr>
          <w:b/>
          <w:sz w:val="28"/>
        </w:rPr>
      </w:pPr>
      <w:r w:rsidRPr="00DC3578">
        <w:rPr>
          <w:b/>
          <w:color w:val="0070C0"/>
          <w:sz w:val="28"/>
        </w:rPr>
        <w:t>OSKRBA Z ELEKTRIČNO ENERGIJO</w:t>
      </w:r>
    </w:p>
    <w:p w:rsidR="003126CE" w:rsidRPr="00DC3578" w:rsidRDefault="003126CE" w:rsidP="00E91206">
      <w:pPr>
        <w:spacing w:after="0" w:line="240" w:lineRule="auto"/>
        <w:jc w:val="center"/>
        <w:rPr>
          <w:b/>
          <w:sz w:val="24"/>
        </w:rPr>
      </w:pPr>
    </w:p>
    <w:p w:rsidR="00852D6B" w:rsidRPr="00DC3578" w:rsidRDefault="00852D6B" w:rsidP="00E91206">
      <w:pPr>
        <w:tabs>
          <w:tab w:val="left" w:pos="2685"/>
          <w:tab w:val="center" w:pos="4536"/>
        </w:tabs>
        <w:spacing w:after="0" w:line="240" w:lineRule="auto"/>
        <w:jc w:val="center"/>
        <w:rPr>
          <w:b/>
          <w:color w:val="0070C0"/>
          <w:sz w:val="24"/>
        </w:rPr>
      </w:pPr>
      <w:r w:rsidRPr="00DC3578">
        <w:rPr>
          <w:b/>
          <w:color w:val="0070C0"/>
          <w:sz w:val="24"/>
        </w:rPr>
        <w:t xml:space="preserve">Območna enota </w:t>
      </w:r>
      <w:r w:rsidR="006C14A8">
        <w:rPr>
          <w:b/>
          <w:color w:val="0070C0"/>
          <w:sz w:val="24"/>
        </w:rPr>
        <w:t>Ptuj</w:t>
      </w:r>
      <w:r w:rsidR="00370B49">
        <w:rPr>
          <w:b/>
          <w:color w:val="0070C0"/>
          <w:sz w:val="24"/>
        </w:rPr>
        <w:t xml:space="preserve"> v letu 2016</w:t>
      </w:r>
      <w:r w:rsidRPr="00DC3578">
        <w:rPr>
          <w:b/>
          <w:color w:val="0070C0"/>
          <w:sz w:val="24"/>
        </w:rPr>
        <w:t>:</w:t>
      </w:r>
    </w:p>
    <w:p w:rsidR="00AD78C0" w:rsidRPr="009E1D31" w:rsidRDefault="006737E4" w:rsidP="00E91206">
      <w:pPr>
        <w:spacing w:after="0" w:line="240" w:lineRule="auto"/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rekordna</w:t>
      </w:r>
      <w:r w:rsidR="00AD78C0">
        <w:rPr>
          <w:b/>
          <w:color w:val="0070C0"/>
          <w:sz w:val="24"/>
        </w:rPr>
        <w:t xml:space="preserve"> </w:t>
      </w:r>
      <w:r w:rsidR="00AD78C0" w:rsidRPr="009E1D31">
        <w:rPr>
          <w:b/>
          <w:color w:val="0070C0"/>
          <w:sz w:val="24"/>
        </w:rPr>
        <w:t>raba električne energije in obračunska moč</w:t>
      </w:r>
    </w:p>
    <w:p w:rsidR="00B71491" w:rsidRPr="00084060" w:rsidRDefault="00B71491" w:rsidP="00E91206">
      <w:pPr>
        <w:spacing w:after="0" w:line="240" w:lineRule="auto"/>
        <w:jc w:val="center"/>
        <w:rPr>
          <w:b/>
          <w:color w:val="0070C0"/>
          <w:sz w:val="24"/>
          <w:highlight w:val="yellow"/>
        </w:rPr>
      </w:pPr>
    </w:p>
    <w:p w:rsidR="00126BDB" w:rsidRPr="00AD78C0" w:rsidRDefault="00126BDB" w:rsidP="00E91206">
      <w:pPr>
        <w:spacing w:after="0" w:line="240" w:lineRule="auto"/>
        <w:jc w:val="both"/>
      </w:pPr>
    </w:p>
    <w:p w:rsidR="00296ABE" w:rsidRDefault="00740EAD" w:rsidP="00E91206">
      <w:pPr>
        <w:spacing w:after="0" w:line="240" w:lineRule="auto"/>
        <w:jc w:val="both"/>
        <w:rPr>
          <w:b/>
        </w:rPr>
      </w:pPr>
      <w:r w:rsidRPr="00296ABE">
        <w:rPr>
          <w:b/>
        </w:rPr>
        <w:t xml:space="preserve">Družba Elektro </w:t>
      </w:r>
      <w:r w:rsidR="002A444F" w:rsidRPr="00296ABE">
        <w:rPr>
          <w:b/>
        </w:rPr>
        <w:t>Maribor je v letu 201</w:t>
      </w:r>
      <w:r w:rsidR="00370B49" w:rsidRPr="00296ABE">
        <w:rPr>
          <w:b/>
        </w:rPr>
        <w:t>6</w:t>
      </w:r>
      <w:r w:rsidR="007523AB" w:rsidRPr="00296ABE">
        <w:rPr>
          <w:b/>
        </w:rPr>
        <w:t xml:space="preserve"> d</w:t>
      </w:r>
      <w:r w:rsidR="00884F6E" w:rsidRPr="00296ABE">
        <w:rPr>
          <w:b/>
        </w:rPr>
        <w:t>istribuira</w:t>
      </w:r>
      <w:r w:rsidR="007523AB" w:rsidRPr="00296ABE">
        <w:rPr>
          <w:b/>
        </w:rPr>
        <w:t>l</w:t>
      </w:r>
      <w:r w:rsidRPr="00296ABE">
        <w:rPr>
          <w:b/>
        </w:rPr>
        <w:t>a</w:t>
      </w:r>
      <w:r w:rsidR="00884F6E" w:rsidRPr="00296ABE">
        <w:rPr>
          <w:b/>
        </w:rPr>
        <w:t xml:space="preserve"> </w:t>
      </w:r>
      <w:r w:rsidR="00370B49" w:rsidRPr="00296ABE">
        <w:rPr>
          <w:b/>
          <w:bCs/>
        </w:rPr>
        <w:t>2.208</w:t>
      </w:r>
      <w:r w:rsidR="00884F6E" w:rsidRPr="00296ABE">
        <w:rPr>
          <w:b/>
          <w:bCs/>
        </w:rPr>
        <w:t xml:space="preserve"> GWh</w:t>
      </w:r>
      <w:r w:rsidR="007523AB" w:rsidRPr="00296ABE">
        <w:rPr>
          <w:b/>
          <w:bCs/>
        </w:rPr>
        <w:t xml:space="preserve"> električne energije</w:t>
      </w:r>
      <w:r w:rsidR="00884F6E" w:rsidRPr="00296ABE">
        <w:rPr>
          <w:b/>
        </w:rPr>
        <w:t xml:space="preserve">, kar je za </w:t>
      </w:r>
      <w:r w:rsidR="002A444F" w:rsidRPr="00296ABE">
        <w:rPr>
          <w:b/>
          <w:bCs/>
        </w:rPr>
        <w:t>1,</w:t>
      </w:r>
      <w:r w:rsidR="00370B49" w:rsidRPr="00296ABE">
        <w:rPr>
          <w:b/>
          <w:bCs/>
        </w:rPr>
        <w:t>9</w:t>
      </w:r>
      <w:r w:rsidR="00884F6E" w:rsidRPr="00296ABE">
        <w:rPr>
          <w:b/>
          <w:bCs/>
        </w:rPr>
        <w:t xml:space="preserve"> % </w:t>
      </w:r>
      <w:r w:rsidR="00BA6B23" w:rsidRPr="00296ABE">
        <w:rPr>
          <w:b/>
          <w:bCs/>
        </w:rPr>
        <w:t>več kot v letu 201</w:t>
      </w:r>
      <w:r w:rsidR="00370B49" w:rsidRPr="00296ABE">
        <w:rPr>
          <w:b/>
          <w:bCs/>
        </w:rPr>
        <w:t>5</w:t>
      </w:r>
      <w:r w:rsidR="002A444F" w:rsidRPr="00296ABE">
        <w:rPr>
          <w:b/>
          <w:bCs/>
        </w:rPr>
        <w:t xml:space="preserve"> (2.1</w:t>
      </w:r>
      <w:r w:rsidR="00370B49" w:rsidRPr="00296ABE">
        <w:rPr>
          <w:b/>
          <w:bCs/>
        </w:rPr>
        <w:t>67</w:t>
      </w:r>
      <w:r w:rsidR="00884F6E" w:rsidRPr="00296ABE">
        <w:rPr>
          <w:b/>
          <w:bCs/>
        </w:rPr>
        <w:t xml:space="preserve"> GWh)</w:t>
      </w:r>
      <w:r w:rsidR="00884F6E" w:rsidRPr="00296ABE">
        <w:rPr>
          <w:b/>
        </w:rPr>
        <w:t xml:space="preserve">. </w:t>
      </w:r>
    </w:p>
    <w:p w:rsidR="00296ABE" w:rsidRPr="00296ABE" w:rsidRDefault="00296ABE" w:rsidP="00E91206">
      <w:pPr>
        <w:spacing w:after="0" w:line="240" w:lineRule="auto"/>
        <w:jc w:val="both"/>
        <w:rPr>
          <w:b/>
        </w:rPr>
      </w:pPr>
    </w:p>
    <w:p w:rsidR="006737E4" w:rsidRPr="00296ABE" w:rsidRDefault="0030482D" w:rsidP="00E91206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sl-SI"/>
        </w:rPr>
      </w:pPr>
      <w:r w:rsidRPr="00296ABE">
        <w:rPr>
          <w:b/>
        </w:rPr>
        <w:t>N</w:t>
      </w:r>
      <w:r w:rsidR="00740EAD" w:rsidRPr="00296ABE">
        <w:rPr>
          <w:b/>
        </w:rPr>
        <w:t xml:space="preserve">a področju Območne enote </w:t>
      </w:r>
      <w:r w:rsidR="006C14A8" w:rsidRPr="00296ABE">
        <w:rPr>
          <w:b/>
        </w:rPr>
        <w:t>Ptuj</w:t>
      </w:r>
      <w:r w:rsidRPr="00296ABE">
        <w:rPr>
          <w:b/>
        </w:rPr>
        <w:t xml:space="preserve"> </w:t>
      </w:r>
      <w:r w:rsidR="00370B49" w:rsidRPr="00296ABE">
        <w:rPr>
          <w:b/>
        </w:rPr>
        <w:t>je bilo v letu 2016</w:t>
      </w:r>
      <w:r w:rsidR="00CC4212" w:rsidRPr="00296ABE">
        <w:rPr>
          <w:b/>
        </w:rPr>
        <w:t xml:space="preserve"> distribuirane </w:t>
      </w:r>
      <w:r w:rsidR="006C14A8" w:rsidRPr="00296ABE">
        <w:rPr>
          <w:b/>
        </w:rPr>
        <w:t>za 2,6</w:t>
      </w:r>
      <w:r w:rsidRPr="00296ABE">
        <w:rPr>
          <w:b/>
        </w:rPr>
        <w:t xml:space="preserve"> % </w:t>
      </w:r>
      <w:r w:rsidR="00CC4212" w:rsidRPr="00296ABE">
        <w:rPr>
          <w:b/>
        </w:rPr>
        <w:t>več</w:t>
      </w:r>
      <w:r w:rsidR="00740EAD" w:rsidRPr="00296ABE">
        <w:rPr>
          <w:b/>
        </w:rPr>
        <w:t xml:space="preserve"> ele</w:t>
      </w:r>
      <w:r w:rsidR="00CC4212" w:rsidRPr="00296ABE">
        <w:rPr>
          <w:b/>
        </w:rPr>
        <w:t>ktrične energi</w:t>
      </w:r>
      <w:r w:rsidR="00370B49" w:rsidRPr="00296ABE">
        <w:rPr>
          <w:b/>
        </w:rPr>
        <w:t>je kot v letu 2015</w:t>
      </w:r>
      <w:r w:rsidR="00EE1A2E" w:rsidRPr="00296ABE">
        <w:rPr>
          <w:b/>
        </w:rPr>
        <w:t xml:space="preserve">. </w:t>
      </w:r>
      <w:r w:rsidR="006737E4" w:rsidRPr="00296ABE">
        <w:rPr>
          <w:b/>
        </w:rPr>
        <w:t>Dosežena je bila rekordna vrednost odjema.</w:t>
      </w:r>
    </w:p>
    <w:p w:rsidR="009E1D31" w:rsidRPr="00AD78C0" w:rsidRDefault="009E1D31" w:rsidP="00E91206">
      <w:pPr>
        <w:spacing w:after="0" w:line="240" w:lineRule="auto"/>
        <w:jc w:val="both"/>
      </w:pPr>
    </w:p>
    <w:p w:rsidR="00AD78C0" w:rsidRPr="00084060" w:rsidRDefault="00AD78C0" w:rsidP="00E91206">
      <w:pPr>
        <w:spacing w:after="0" w:line="240" w:lineRule="auto"/>
        <w:jc w:val="both"/>
        <w:rPr>
          <w:highlight w:val="yellow"/>
        </w:rPr>
      </w:pPr>
    </w:p>
    <w:p w:rsidR="0008364D" w:rsidRPr="00CD3E63" w:rsidRDefault="00A40D70" w:rsidP="00E91206">
      <w:pPr>
        <w:spacing w:after="0" w:line="240" w:lineRule="auto"/>
        <w:jc w:val="center"/>
        <w:rPr>
          <w:b/>
          <w:color w:val="0070C0"/>
        </w:rPr>
      </w:pPr>
      <w:r w:rsidRPr="00CD3E63">
        <w:rPr>
          <w:b/>
          <w:color w:val="0070C0"/>
        </w:rPr>
        <w:t xml:space="preserve">Območna enota </w:t>
      </w:r>
      <w:r w:rsidR="00DE0D67">
        <w:rPr>
          <w:b/>
          <w:color w:val="0070C0"/>
        </w:rPr>
        <w:t>Ptuj</w:t>
      </w:r>
    </w:p>
    <w:p w:rsidR="00A40D70" w:rsidRPr="00CD3E63" w:rsidRDefault="00A40D70" w:rsidP="00E91206">
      <w:pPr>
        <w:spacing w:after="0" w:line="240" w:lineRule="auto"/>
        <w:jc w:val="both"/>
      </w:pPr>
    </w:p>
    <w:p w:rsidR="004F5E20" w:rsidRPr="00825039" w:rsidRDefault="004F5E20" w:rsidP="00E91206">
      <w:pPr>
        <w:spacing w:after="0" w:line="240" w:lineRule="auto"/>
        <w:jc w:val="both"/>
      </w:pPr>
      <w:r w:rsidRPr="00825039">
        <w:t xml:space="preserve">Območna enota </w:t>
      </w:r>
      <w:r w:rsidR="006C14A8">
        <w:t>Ptuj</w:t>
      </w:r>
      <w:r w:rsidRPr="00825039">
        <w:t xml:space="preserve"> pokriva območje </w:t>
      </w:r>
      <w:r w:rsidR="006C14A8">
        <w:t>22</w:t>
      </w:r>
      <w:r w:rsidRPr="00825039">
        <w:t xml:space="preserve"> občin na </w:t>
      </w:r>
      <w:r w:rsidR="006C14A8">
        <w:t>798</w:t>
      </w:r>
      <w:r w:rsidRPr="00825039">
        <w:t xml:space="preserve"> km</w:t>
      </w:r>
      <w:r w:rsidRPr="00825039">
        <w:rPr>
          <w:vertAlign w:val="superscript"/>
        </w:rPr>
        <w:t>2</w:t>
      </w:r>
      <w:r w:rsidRPr="00825039">
        <w:t xml:space="preserve"> velikem področju. Oskrbuje </w:t>
      </w:r>
      <w:r w:rsidR="00FF2E0C">
        <w:t>36.</w:t>
      </w:r>
      <w:r w:rsidR="006C14A8">
        <w:t>770</w:t>
      </w:r>
      <w:r w:rsidR="00F9180B" w:rsidRPr="00825039">
        <w:t xml:space="preserve"> odjemalce</w:t>
      </w:r>
      <w:r w:rsidR="00CD3E63" w:rsidRPr="00825039">
        <w:t xml:space="preserve">v, kar predstavlja </w:t>
      </w:r>
      <w:r w:rsidR="00FF2E0C">
        <w:t>17</w:t>
      </w:r>
      <w:r w:rsidRPr="00825039">
        <w:t xml:space="preserve"> % vseh odjemalce</w:t>
      </w:r>
      <w:r w:rsidR="00DB4F19">
        <w:t>v Elektra Maribor, in ima več kot 3.400</w:t>
      </w:r>
      <w:r w:rsidRPr="00825039">
        <w:t xml:space="preserve"> km oziroma </w:t>
      </w:r>
      <w:r w:rsidR="00DB4F19">
        <w:t>skoraj 21</w:t>
      </w:r>
      <w:r w:rsidRPr="00825039">
        <w:t xml:space="preserve"> % skupne dolžine elektrodistribucijskega omrežja.</w:t>
      </w:r>
    </w:p>
    <w:p w:rsidR="00A40D70" w:rsidRPr="00825039" w:rsidRDefault="00A40D70" w:rsidP="00E91206">
      <w:pPr>
        <w:spacing w:after="0" w:line="240" w:lineRule="auto"/>
        <w:jc w:val="both"/>
      </w:pPr>
    </w:p>
    <w:p w:rsidR="00A40D70" w:rsidRPr="00825039" w:rsidRDefault="00A40D70" w:rsidP="00E91206">
      <w:pPr>
        <w:spacing w:after="0" w:line="240" w:lineRule="auto"/>
        <w:jc w:val="center"/>
      </w:pPr>
      <w:r w:rsidRPr="00825039">
        <w:rPr>
          <w:noProof/>
          <w:lang w:eastAsia="sl-SI"/>
        </w:rPr>
        <w:drawing>
          <wp:inline distT="0" distB="0" distL="0" distR="0" wp14:anchorId="04606AD3" wp14:editId="01EECCF0">
            <wp:extent cx="4899804" cy="307865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8337" cy="307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A5" w:rsidRDefault="002527A5" w:rsidP="00E91206">
      <w:pPr>
        <w:spacing w:after="0" w:line="240" w:lineRule="auto"/>
        <w:jc w:val="both"/>
      </w:pPr>
    </w:p>
    <w:p w:rsidR="002527A5" w:rsidRPr="00825039" w:rsidRDefault="002527A5" w:rsidP="00E91206">
      <w:pPr>
        <w:spacing w:after="0" w:line="240" w:lineRule="auto"/>
        <w:jc w:val="both"/>
      </w:pPr>
    </w:p>
    <w:p w:rsidR="003126CE" w:rsidRPr="00825039" w:rsidRDefault="00296ABE" w:rsidP="00E91206">
      <w:pPr>
        <w:spacing w:after="0" w:line="240" w:lineRule="auto"/>
        <w:jc w:val="center"/>
        <w:rPr>
          <w:b/>
          <w:color w:val="0070C0"/>
        </w:rPr>
      </w:pPr>
      <w:r>
        <w:rPr>
          <w:b/>
          <w:color w:val="0070C0"/>
        </w:rPr>
        <w:t>Odjem</w:t>
      </w:r>
      <w:r w:rsidR="003126CE" w:rsidRPr="00825039">
        <w:rPr>
          <w:b/>
          <w:color w:val="0070C0"/>
        </w:rPr>
        <w:t xml:space="preserve"> energije</w:t>
      </w:r>
    </w:p>
    <w:p w:rsidR="003126CE" w:rsidRPr="00825039" w:rsidRDefault="003126CE" w:rsidP="00E91206">
      <w:pPr>
        <w:spacing w:after="0" w:line="240" w:lineRule="auto"/>
        <w:jc w:val="both"/>
      </w:pPr>
    </w:p>
    <w:p w:rsidR="00296ABE" w:rsidRDefault="00296ABE" w:rsidP="00296ABE">
      <w:pPr>
        <w:spacing w:after="0" w:line="240" w:lineRule="auto"/>
        <w:jc w:val="both"/>
        <w:rPr>
          <w:iCs/>
        </w:rPr>
      </w:pPr>
      <w:r>
        <w:rPr>
          <w:iCs/>
        </w:rPr>
        <w:t>Odjem</w:t>
      </w:r>
      <w:r w:rsidR="002A49A9" w:rsidRPr="002A49A9">
        <w:rPr>
          <w:iCs/>
        </w:rPr>
        <w:t xml:space="preserve"> gospodinjskih odjemalcev na oskrbnem območju Območne enote </w:t>
      </w:r>
      <w:r w:rsidR="005465B9">
        <w:rPr>
          <w:iCs/>
        </w:rPr>
        <w:t>Ptuj</w:t>
      </w:r>
      <w:r w:rsidR="002A49A9" w:rsidRPr="002A49A9">
        <w:rPr>
          <w:iCs/>
        </w:rPr>
        <w:t xml:space="preserve"> je bil v letu 2016 za </w:t>
      </w:r>
      <w:r w:rsidR="005465B9">
        <w:rPr>
          <w:iCs/>
        </w:rPr>
        <w:t>1,3</w:t>
      </w:r>
      <w:r w:rsidR="002A49A9" w:rsidRPr="002A49A9">
        <w:rPr>
          <w:iCs/>
        </w:rPr>
        <w:t xml:space="preserve"> % večj</w:t>
      </w:r>
      <w:r>
        <w:rPr>
          <w:iCs/>
        </w:rPr>
        <w:t>i</w:t>
      </w:r>
      <w:r w:rsidR="002A49A9" w:rsidRPr="002A49A9">
        <w:rPr>
          <w:iCs/>
        </w:rPr>
        <w:t xml:space="preserve"> kot v letu 2015, </w:t>
      </w:r>
      <w:r w:rsidR="008D6C1E">
        <w:rPr>
          <w:iCs/>
        </w:rPr>
        <w:t xml:space="preserve">kar je </w:t>
      </w:r>
      <w:r w:rsidR="005465B9">
        <w:rPr>
          <w:iCs/>
        </w:rPr>
        <w:t>nekoliko manj</w:t>
      </w:r>
      <w:r w:rsidR="008D6C1E">
        <w:rPr>
          <w:iCs/>
        </w:rPr>
        <w:t xml:space="preserve"> kot na celotnem območju Elektro Maribor</w:t>
      </w:r>
      <w:r w:rsidR="005465B9">
        <w:rPr>
          <w:iCs/>
        </w:rPr>
        <w:t xml:space="preserve"> (1,4 %)</w:t>
      </w:r>
      <w:r w:rsidR="002A49A9" w:rsidRPr="002A49A9">
        <w:rPr>
          <w:iCs/>
        </w:rPr>
        <w:t xml:space="preserve">. </w:t>
      </w:r>
      <w:r>
        <w:rPr>
          <w:iCs/>
        </w:rPr>
        <w:t>Odjem na</w:t>
      </w:r>
      <w:r w:rsidR="002A49A9" w:rsidRPr="002A49A9">
        <w:rPr>
          <w:iCs/>
        </w:rPr>
        <w:t xml:space="preserve"> srednji napetosti (SN</w:t>
      </w:r>
      <w:r w:rsidR="00F4798C">
        <w:rPr>
          <w:iCs/>
        </w:rPr>
        <w:t xml:space="preserve">) je bil </w:t>
      </w:r>
      <w:r w:rsidR="005465B9">
        <w:rPr>
          <w:iCs/>
        </w:rPr>
        <w:t xml:space="preserve">kar </w:t>
      </w:r>
      <w:r w:rsidR="008D6C1E">
        <w:rPr>
          <w:iCs/>
        </w:rPr>
        <w:t xml:space="preserve">za </w:t>
      </w:r>
      <w:r w:rsidR="005465B9">
        <w:rPr>
          <w:iCs/>
        </w:rPr>
        <w:t>7,3</w:t>
      </w:r>
      <w:r w:rsidR="002A49A9" w:rsidRPr="002A49A9">
        <w:rPr>
          <w:iCs/>
        </w:rPr>
        <w:t xml:space="preserve"> % </w:t>
      </w:r>
      <w:r w:rsidR="008D6C1E">
        <w:rPr>
          <w:iCs/>
        </w:rPr>
        <w:t>večj</w:t>
      </w:r>
      <w:r>
        <w:rPr>
          <w:iCs/>
        </w:rPr>
        <w:t>i</w:t>
      </w:r>
      <w:r w:rsidR="002A49A9" w:rsidRPr="002A49A9">
        <w:rPr>
          <w:iCs/>
        </w:rPr>
        <w:t xml:space="preserve"> (na območju Elektra Maribor pa za 2 % večj</w:t>
      </w:r>
      <w:r>
        <w:rPr>
          <w:iCs/>
        </w:rPr>
        <w:t>i</w:t>
      </w:r>
      <w:r w:rsidR="002A49A9" w:rsidRPr="002A49A9">
        <w:rPr>
          <w:iCs/>
        </w:rPr>
        <w:t xml:space="preserve">), </w:t>
      </w:r>
      <w:r>
        <w:rPr>
          <w:iCs/>
        </w:rPr>
        <w:t>odjem</w:t>
      </w:r>
      <w:r w:rsidR="002A49A9" w:rsidRPr="002A49A9">
        <w:rPr>
          <w:iCs/>
        </w:rPr>
        <w:t xml:space="preserve"> po</w:t>
      </w:r>
      <w:r w:rsidR="008D6C1E">
        <w:rPr>
          <w:iCs/>
        </w:rPr>
        <w:t>sl</w:t>
      </w:r>
      <w:r w:rsidR="00C15E0B">
        <w:rPr>
          <w:iCs/>
        </w:rPr>
        <w:t>ovnih odjemalcev na nizki napetosti</w:t>
      </w:r>
      <w:r w:rsidR="005465B9">
        <w:rPr>
          <w:iCs/>
        </w:rPr>
        <w:t xml:space="preserve"> </w:t>
      </w:r>
      <w:r>
        <w:rPr>
          <w:iCs/>
        </w:rPr>
        <w:t xml:space="preserve">(NN) </w:t>
      </w:r>
      <w:r w:rsidR="005465B9">
        <w:rPr>
          <w:iCs/>
        </w:rPr>
        <w:t>pa za 0,6</w:t>
      </w:r>
      <w:r>
        <w:rPr>
          <w:iCs/>
        </w:rPr>
        <w:t xml:space="preserve"> % večji</w:t>
      </w:r>
      <w:r w:rsidR="002A49A9" w:rsidRPr="002A49A9">
        <w:rPr>
          <w:iCs/>
        </w:rPr>
        <w:t xml:space="preserve"> kot v 2015 (na območju Elektra Maribor pa 2,4 % večj</w:t>
      </w:r>
      <w:r>
        <w:rPr>
          <w:iCs/>
        </w:rPr>
        <w:t>i</w:t>
      </w:r>
      <w:r w:rsidR="002A49A9" w:rsidRPr="002A49A9">
        <w:rPr>
          <w:iCs/>
        </w:rPr>
        <w:t>)</w:t>
      </w:r>
      <w:r>
        <w:t xml:space="preserve">, </w:t>
      </w:r>
      <w:r>
        <w:rPr>
          <w:iCs/>
        </w:rPr>
        <w:t>na kar so vplivala gospodarska gibanja na distribucijskem območju</w:t>
      </w:r>
      <w:r>
        <w:t>.</w:t>
      </w:r>
      <w:r>
        <w:rPr>
          <w:rFonts w:eastAsia="Times New Roman" w:cs="Times New Roman"/>
          <w:bCs/>
          <w:color w:val="000000"/>
          <w:lang w:eastAsia="sl-SI"/>
        </w:rPr>
        <w:t xml:space="preserve"> </w:t>
      </w:r>
    </w:p>
    <w:p w:rsidR="00296ABE" w:rsidRDefault="00296ABE" w:rsidP="00E91206">
      <w:pPr>
        <w:spacing w:after="0" w:line="240" w:lineRule="auto"/>
        <w:jc w:val="both"/>
        <w:rPr>
          <w:iCs/>
        </w:rPr>
      </w:pPr>
    </w:p>
    <w:p w:rsidR="002A49A9" w:rsidRPr="002A49A9" w:rsidRDefault="002A49A9" w:rsidP="00E91206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  <w:r w:rsidRPr="002A49A9">
        <w:rPr>
          <w:rFonts w:eastAsia="Times New Roman" w:cs="Times New Roman"/>
          <w:bCs/>
          <w:color w:val="000000"/>
          <w:lang w:eastAsia="sl-SI"/>
        </w:rPr>
        <w:t xml:space="preserve">V letu 2016 je bila na tem območju zabeležena </w:t>
      </w:r>
      <w:r w:rsidR="00296ABE">
        <w:rPr>
          <w:rFonts w:eastAsia="Times New Roman" w:cs="Times New Roman"/>
          <w:bCs/>
          <w:color w:val="000000"/>
          <w:lang w:eastAsia="sl-SI"/>
        </w:rPr>
        <w:t>2,6 %</w:t>
      </w:r>
      <w:r w:rsidR="00296ABE" w:rsidRPr="002A49A9">
        <w:rPr>
          <w:rFonts w:eastAsia="Times New Roman" w:cs="Times New Roman"/>
          <w:bCs/>
          <w:color w:val="000000"/>
          <w:lang w:eastAsia="sl-SI"/>
        </w:rPr>
        <w:t xml:space="preserve"> </w:t>
      </w:r>
      <w:r w:rsidRPr="002A49A9">
        <w:rPr>
          <w:rFonts w:eastAsia="Times New Roman" w:cs="Times New Roman"/>
          <w:bCs/>
          <w:color w:val="000000"/>
          <w:lang w:eastAsia="sl-SI"/>
        </w:rPr>
        <w:t xml:space="preserve">skupna rast </w:t>
      </w:r>
      <w:r w:rsidR="00296ABE">
        <w:rPr>
          <w:rFonts w:eastAsia="Times New Roman" w:cs="Times New Roman"/>
          <w:bCs/>
          <w:color w:val="000000"/>
          <w:lang w:eastAsia="sl-SI"/>
        </w:rPr>
        <w:t>odjema,</w:t>
      </w:r>
      <w:r w:rsidRPr="002A49A9">
        <w:rPr>
          <w:rFonts w:eastAsia="Times New Roman" w:cs="Times New Roman"/>
          <w:bCs/>
          <w:color w:val="000000"/>
          <w:lang w:eastAsia="sl-SI"/>
        </w:rPr>
        <w:t xml:space="preserve"> na celotnem območju Elektra Maribor pa 1,9 %. </w:t>
      </w:r>
      <w:r w:rsidR="00296ABE">
        <w:rPr>
          <w:rFonts w:eastAsia="Times New Roman" w:cs="Times New Roman"/>
          <w:bCs/>
          <w:color w:val="000000"/>
          <w:lang w:eastAsia="sl-SI"/>
        </w:rPr>
        <w:t xml:space="preserve">K </w:t>
      </w:r>
      <w:r w:rsidR="00D07B65">
        <w:rPr>
          <w:rFonts w:eastAsia="Times New Roman" w:cs="Times New Roman"/>
          <w:bCs/>
          <w:color w:val="000000"/>
          <w:lang w:eastAsia="sl-SI"/>
        </w:rPr>
        <w:t xml:space="preserve">povečanju odjema </w:t>
      </w:r>
      <w:r w:rsidR="00296ABE">
        <w:rPr>
          <w:rFonts w:eastAsia="Times New Roman" w:cs="Times New Roman"/>
          <w:bCs/>
          <w:color w:val="000000"/>
          <w:lang w:eastAsia="sl-SI"/>
        </w:rPr>
        <w:t xml:space="preserve">na območju Ptuja </w:t>
      </w:r>
      <w:r w:rsidR="00D07B65">
        <w:rPr>
          <w:rFonts w:eastAsia="Times New Roman" w:cs="Times New Roman"/>
          <w:bCs/>
          <w:color w:val="000000"/>
          <w:lang w:eastAsia="sl-SI"/>
        </w:rPr>
        <w:t xml:space="preserve">je </w:t>
      </w:r>
      <w:r w:rsidR="00296ABE">
        <w:rPr>
          <w:rFonts w:eastAsia="Times New Roman" w:cs="Times New Roman"/>
          <w:bCs/>
          <w:color w:val="000000"/>
          <w:lang w:eastAsia="sl-SI"/>
        </w:rPr>
        <w:t xml:space="preserve">prispevala zlasti rast rabe pri odjemalcih na srednji napetosti, kar kaže na opaznejšo rast gospodarske oz. poslovne dejavnosti. </w:t>
      </w:r>
      <w:r w:rsidRPr="002A49A9">
        <w:rPr>
          <w:lang w:eastAsia="sl-SI"/>
        </w:rPr>
        <w:fldChar w:fldCharType="begin"/>
      </w:r>
      <w:r w:rsidRPr="002A49A9">
        <w:rPr>
          <w:lang w:eastAsia="sl-SI"/>
        </w:rPr>
        <w:instrText xml:space="preserve"> LINK Excel.Sheet.12 "D:\\Uporabniki\\em3676\\Dokumenti\\2016\\novinarji\\podatki\\Distribuirana ee 2005-2015_dodan mesec max konične moči.xlsx" "Poraba po OE 2015 2014!R23C9:R28C11" \a \f 4 \h  \* MERGEFORMAT </w:instrText>
      </w:r>
      <w:r w:rsidRPr="002A49A9">
        <w:rPr>
          <w:lang w:eastAsia="sl-SI"/>
        </w:rPr>
        <w:fldChar w:fldCharType="end"/>
      </w:r>
    </w:p>
    <w:tbl>
      <w:tblPr>
        <w:tblW w:w="7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960"/>
        <w:gridCol w:w="1820"/>
      </w:tblGrid>
      <w:tr w:rsidR="005465B9" w:rsidRPr="005465B9" w:rsidTr="00C15E0B">
        <w:trPr>
          <w:trHeight w:val="900"/>
          <w:jc w:val="center"/>
        </w:trPr>
        <w:tc>
          <w:tcPr>
            <w:tcW w:w="3720" w:type="dxa"/>
            <w:shd w:val="clear" w:color="000000" w:fill="DCE6F1"/>
            <w:vAlign w:val="center"/>
            <w:hideMark/>
          </w:tcPr>
          <w:p w:rsidR="005465B9" w:rsidRPr="005465B9" w:rsidRDefault="00C15E0B" w:rsidP="00296A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lastRenderedPageBreak/>
              <w:t>O</w:t>
            </w:r>
            <w:r w:rsidR="00296AB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bmočna enota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Ptuj:</w:t>
            </w:r>
            <w:r w:rsidR="00296AB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p</w:t>
            </w:r>
            <w:r w:rsidR="005465B9" w:rsidRPr="005465B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rimerjava po posameznih uporabniških skupinah z enakim obdobjem v 2015</w:t>
            </w:r>
          </w:p>
        </w:tc>
        <w:tc>
          <w:tcPr>
            <w:tcW w:w="1960" w:type="dxa"/>
            <w:shd w:val="clear" w:color="000000" w:fill="DCE6F1"/>
            <w:vAlign w:val="center"/>
            <w:hideMark/>
          </w:tcPr>
          <w:p w:rsidR="005465B9" w:rsidRPr="005465B9" w:rsidRDefault="005465B9" w:rsidP="00E9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465B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Obračunska moč</w:t>
            </w:r>
          </w:p>
        </w:tc>
        <w:tc>
          <w:tcPr>
            <w:tcW w:w="1820" w:type="dxa"/>
            <w:shd w:val="clear" w:color="000000" w:fill="DCE6F1"/>
            <w:vAlign w:val="center"/>
            <w:hideMark/>
          </w:tcPr>
          <w:p w:rsidR="005465B9" w:rsidRPr="005465B9" w:rsidRDefault="005465B9" w:rsidP="00E9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465B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Energija</w:t>
            </w:r>
          </w:p>
        </w:tc>
      </w:tr>
      <w:tr w:rsidR="005465B9" w:rsidRPr="005465B9" w:rsidTr="00C15E0B">
        <w:trPr>
          <w:trHeight w:val="300"/>
          <w:jc w:val="center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5465B9" w:rsidRPr="005465B9" w:rsidRDefault="005465B9" w:rsidP="00E9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465B9">
              <w:rPr>
                <w:rFonts w:ascii="Calibri" w:eastAsia="Times New Roman" w:hAnsi="Calibri" w:cs="Calibri"/>
                <w:color w:val="000000"/>
                <w:lang w:eastAsia="sl-SI"/>
              </w:rPr>
              <w:t>Srednja napetost (SN)</w:t>
            </w:r>
          </w:p>
        </w:tc>
        <w:tc>
          <w:tcPr>
            <w:tcW w:w="1960" w:type="dxa"/>
            <w:shd w:val="clear" w:color="000000" w:fill="CCFFCC"/>
            <w:noWrap/>
            <w:vAlign w:val="bottom"/>
            <w:hideMark/>
          </w:tcPr>
          <w:p w:rsidR="005465B9" w:rsidRPr="00296ABE" w:rsidRDefault="005465B9" w:rsidP="00E9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296ABE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9,1%</w:t>
            </w:r>
          </w:p>
        </w:tc>
        <w:tc>
          <w:tcPr>
            <w:tcW w:w="1820" w:type="dxa"/>
            <w:shd w:val="clear" w:color="000000" w:fill="CCFFCC"/>
            <w:noWrap/>
            <w:vAlign w:val="bottom"/>
            <w:hideMark/>
          </w:tcPr>
          <w:p w:rsidR="005465B9" w:rsidRPr="00296ABE" w:rsidRDefault="005465B9" w:rsidP="00E9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296ABE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7,3%</w:t>
            </w:r>
          </w:p>
        </w:tc>
      </w:tr>
      <w:tr w:rsidR="005465B9" w:rsidRPr="005465B9" w:rsidTr="00C15E0B">
        <w:trPr>
          <w:trHeight w:val="300"/>
          <w:jc w:val="center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5465B9" w:rsidRPr="005465B9" w:rsidRDefault="005465B9" w:rsidP="00E9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465B9">
              <w:rPr>
                <w:rFonts w:ascii="Calibri" w:eastAsia="Times New Roman" w:hAnsi="Calibri" w:cs="Calibri"/>
                <w:color w:val="000000"/>
                <w:lang w:eastAsia="sl-SI"/>
              </w:rPr>
              <w:t>Nizka napetost (NN) – poslovni odjem</w:t>
            </w:r>
          </w:p>
        </w:tc>
        <w:tc>
          <w:tcPr>
            <w:tcW w:w="1960" w:type="dxa"/>
            <w:shd w:val="clear" w:color="000000" w:fill="CCFFCC"/>
            <w:noWrap/>
            <w:vAlign w:val="bottom"/>
            <w:hideMark/>
          </w:tcPr>
          <w:p w:rsidR="005465B9" w:rsidRPr="00296ABE" w:rsidRDefault="005465B9" w:rsidP="00E9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296ABE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2,2%</w:t>
            </w:r>
          </w:p>
        </w:tc>
        <w:tc>
          <w:tcPr>
            <w:tcW w:w="1820" w:type="dxa"/>
            <w:shd w:val="clear" w:color="000000" w:fill="CCFFCC"/>
            <w:noWrap/>
            <w:vAlign w:val="bottom"/>
            <w:hideMark/>
          </w:tcPr>
          <w:p w:rsidR="005465B9" w:rsidRPr="00296ABE" w:rsidRDefault="005465B9" w:rsidP="00E9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296ABE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0,6%</w:t>
            </w:r>
          </w:p>
        </w:tc>
      </w:tr>
      <w:tr w:rsidR="005465B9" w:rsidRPr="005465B9" w:rsidTr="00C15E0B">
        <w:trPr>
          <w:trHeight w:val="300"/>
          <w:jc w:val="center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5465B9" w:rsidRPr="005465B9" w:rsidRDefault="005465B9" w:rsidP="00E9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5465B9">
              <w:rPr>
                <w:rFonts w:ascii="Calibri" w:eastAsia="Times New Roman" w:hAnsi="Calibri" w:cs="Calibri"/>
                <w:color w:val="000000"/>
                <w:lang w:eastAsia="sl-SI"/>
              </w:rPr>
              <w:t>Gospodinjstva</w:t>
            </w:r>
          </w:p>
        </w:tc>
        <w:tc>
          <w:tcPr>
            <w:tcW w:w="1960" w:type="dxa"/>
            <w:shd w:val="clear" w:color="000000" w:fill="CCFFCC"/>
            <w:noWrap/>
            <w:vAlign w:val="bottom"/>
            <w:hideMark/>
          </w:tcPr>
          <w:p w:rsidR="005465B9" w:rsidRPr="00296ABE" w:rsidRDefault="005465B9" w:rsidP="00E9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296ABE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0,6%</w:t>
            </w:r>
          </w:p>
        </w:tc>
        <w:tc>
          <w:tcPr>
            <w:tcW w:w="1820" w:type="dxa"/>
            <w:shd w:val="clear" w:color="000000" w:fill="CCFFCC"/>
            <w:noWrap/>
            <w:vAlign w:val="bottom"/>
            <w:hideMark/>
          </w:tcPr>
          <w:p w:rsidR="005465B9" w:rsidRPr="00296ABE" w:rsidRDefault="005465B9" w:rsidP="00E9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</w:pPr>
            <w:r w:rsidRPr="00296ABE">
              <w:rPr>
                <w:rFonts w:ascii="Calibri" w:eastAsia="Times New Roman" w:hAnsi="Calibri" w:cs="Calibri"/>
                <w:color w:val="4F6228" w:themeColor="accent3" w:themeShade="80"/>
                <w:lang w:eastAsia="sl-SI"/>
              </w:rPr>
              <w:t>1,3%</w:t>
            </w:r>
          </w:p>
        </w:tc>
      </w:tr>
      <w:tr w:rsidR="005465B9" w:rsidRPr="005465B9" w:rsidTr="00C15E0B">
        <w:trPr>
          <w:trHeight w:val="300"/>
          <w:jc w:val="center"/>
        </w:trPr>
        <w:tc>
          <w:tcPr>
            <w:tcW w:w="3720" w:type="dxa"/>
            <w:shd w:val="clear" w:color="auto" w:fill="92D050"/>
            <w:noWrap/>
            <w:vAlign w:val="center"/>
            <w:hideMark/>
          </w:tcPr>
          <w:p w:rsidR="005465B9" w:rsidRPr="005465B9" w:rsidRDefault="005465B9" w:rsidP="00E912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5465B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1960" w:type="dxa"/>
            <w:shd w:val="clear" w:color="auto" w:fill="92D050"/>
            <w:noWrap/>
            <w:vAlign w:val="bottom"/>
            <w:hideMark/>
          </w:tcPr>
          <w:p w:rsidR="005465B9" w:rsidRPr="00296ABE" w:rsidRDefault="005465B9" w:rsidP="00E9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lang w:eastAsia="sl-SI"/>
              </w:rPr>
            </w:pPr>
            <w:r w:rsidRPr="00296ABE"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lang w:eastAsia="sl-SI"/>
              </w:rPr>
              <w:t>1,4%</w:t>
            </w:r>
          </w:p>
        </w:tc>
        <w:tc>
          <w:tcPr>
            <w:tcW w:w="1820" w:type="dxa"/>
            <w:shd w:val="clear" w:color="auto" w:fill="92D050"/>
            <w:noWrap/>
            <w:vAlign w:val="bottom"/>
            <w:hideMark/>
          </w:tcPr>
          <w:p w:rsidR="005465B9" w:rsidRPr="00296ABE" w:rsidRDefault="005465B9" w:rsidP="00E9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lang w:eastAsia="sl-SI"/>
              </w:rPr>
            </w:pPr>
            <w:r w:rsidRPr="00296ABE">
              <w:rPr>
                <w:rFonts w:ascii="Calibri" w:eastAsia="Times New Roman" w:hAnsi="Calibri" w:cs="Calibri"/>
                <w:b/>
                <w:bCs/>
                <w:color w:val="4F6228" w:themeColor="accent3" w:themeShade="80"/>
                <w:lang w:eastAsia="sl-SI"/>
              </w:rPr>
              <w:t>2,6%</w:t>
            </w:r>
          </w:p>
        </w:tc>
      </w:tr>
    </w:tbl>
    <w:p w:rsidR="006C14A8" w:rsidRDefault="00AD78C0" w:rsidP="00E91206">
      <w:pPr>
        <w:spacing w:after="0" w:line="240" w:lineRule="auto"/>
        <w:jc w:val="center"/>
      </w:pPr>
      <w:r>
        <w:rPr>
          <w:highlight w:val="yellow"/>
          <w:lang w:eastAsia="sl-SI"/>
        </w:rPr>
        <w:fldChar w:fldCharType="begin"/>
      </w:r>
      <w:r>
        <w:rPr>
          <w:highlight w:val="yellow"/>
          <w:lang w:eastAsia="sl-SI"/>
        </w:rPr>
        <w:instrText xml:space="preserve"> LINK </w:instrText>
      </w:r>
      <w:r w:rsidR="006C14A8">
        <w:rPr>
          <w:highlight w:val="yellow"/>
          <w:lang w:eastAsia="sl-SI"/>
        </w:rPr>
        <w:instrText xml:space="preserve">Excel.Sheet.12 "C:\\Users\\em3621\\Desktop\\Novinarske konference\\Distribuirana ee 2005-2016.xlsx" "Poraba po OE 2016 2015!R2C9:R7C11" </w:instrText>
      </w:r>
      <w:r>
        <w:rPr>
          <w:highlight w:val="yellow"/>
          <w:lang w:eastAsia="sl-SI"/>
        </w:rPr>
        <w:instrText xml:space="preserve">\a \f 4 \h </w:instrText>
      </w:r>
      <w:r w:rsidR="00E91206">
        <w:rPr>
          <w:highlight w:val="yellow"/>
          <w:lang w:eastAsia="sl-SI"/>
        </w:rPr>
        <w:instrText xml:space="preserve"> \* MERGEFORMAT </w:instrText>
      </w:r>
      <w:r>
        <w:rPr>
          <w:highlight w:val="yellow"/>
          <w:lang w:eastAsia="sl-SI"/>
        </w:rPr>
        <w:fldChar w:fldCharType="separate"/>
      </w:r>
    </w:p>
    <w:p w:rsidR="002527A5" w:rsidRDefault="00AD78C0" w:rsidP="00E91206">
      <w:pPr>
        <w:spacing w:after="0" w:line="240" w:lineRule="auto"/>
        <w:jc w:val="center"/>
        <w:rPr>
          <w:rFonts w:eastAsia="Times New Roman" w:cs="Times New Roman"/>
          <w:bCs/>
          <w:color w:val="000000"/>
          <w:highlight w:val="yellow"/>
          <w:lang w:eastAsia="sl-SI"/>
        </w:rPr>
      </w:pPr>
      <w:r>
        <w:rPr>
          <w:rFonts w:eastAsia="Times New Roman" w:cs="Times New Roman"/>
          <w:bCs/>
          <w:color w:val="000000"/>
          <w:highlight w:val="yellow"/>
          <w:lang w:eastAsia="sl-SI"/>
        </w:rPr>
        <w:fldChar w:fldCharType="end"/>
      </w:r>
    </w:p>
    <w:p w:rsidR="00A151DB" w:rsidRDefault="00296ABE" w:rsidP="00E91206">
      <w:pPr>
        <w:spacing w:after="0" w:line="240" w:lineRule="auto"/>
        <w:jc w:val="both"/>
      </w:pPr>
      <w:r>
        <w:t>Povečala se je tu</w:t>
      </w:r>
      <w:r w:rsidR="003B6099">
        <w:t>di obračunska moč, in sicer kar za 9</w:t>
      </w:r>
      <w:r>
        <w:t>,</w:t>
      </w:r>
      <w:r w:rsidR="003B6099">
        <w:t>1</w:t>
      </w:r>
      <w:r>
        <w:t xml:space="preserve"> % na srednji napetosti in za </w:t>
      </w:r>
      <w:r w:rsidR="003B6099">
        <w:t>2</w:t>
      </w:r>
      <w:r>
        <w:t>,</w:t>
      </w:r>
      <w:r w:rsidR="003B6099">
        <w:t>2</w:t>
      </w:r>
      <w:r>
        <w:t xml:space="preserve"> % pri poslovnem odjemu na nizki napetosti. </w:t>
      </w:r>
      <w:r w:rsidR="00A151DB" w:rsidRPr="002A49A9">
        <w:rPr>
          <w:iCs/>
        </w:rPr>
        <w:t>Realizacija s</w:t>
      </w:r>
      <w:r w:rsidR="003931C7" w:rsidRPr="002A49A9">
        <w:rPr>
          <w:iCs/>
        </w:rPr>
        <w:t>kupne obračunske moči je bila</w:t>
      </w:r>
      <w:r w:rsidR="00A151DB" w:rsidRPr="002A49A9">
        <w:rPr>
          <w:iCs/>
        </w:rPr>
        <w:t xml:space="preserve"> </w:t>
      </w:r>
      <w:r w:rsidR="003931C7" w:rsidRPr="002A49A9">
        <w:rPr>
          <w:iCs/>
        </w:rPr>
        <w:t xml:space="preserve">za </w:t>
      </w:r>
      <w:r w:rsidR="002E0C22">
        <w:rPr>
          <w:iCs/>
        </w:rPr>
        <w:t>1,4</w:t>
      </w:r>
      <w:r w:rsidR="002527A5" w:rsidRPr="002A49A9">
        <w:rPr>
          <w:iCs/>
        </w:rPr>
        <w:t xml:space="preserve"> % večja kot v letu 2015</w:t>
      </w:r>
      <w:r w:rsidR="00A151DB" w:rsidRPr="002A49A9">
        <w:rPr>
          <w:iCs/>
        </w:rPr>
        <w:t xml:space="preserve">, </w:t>
      </w:r>
      <w:r w:rsidR="003B6099">
        <w:rPr>
          <w:iCs/>
        </w:rPr>
        <w:t>na</w:t>
      </w:r>
      <w:r w:rsidR="008D6C1E">
        <w:rPr>
          <w:iCs/>
        </w:rPr>
        <w:t xml:space="preserve"> območj</w:t>
      </w:r>
      <w:r w:rsidR="003B6099">
        <w:rPr>
          <w:iCs/>
        </w:rPr>
        <w:t>u</w:t>
      </w:r>
      <w:r w:rsidR="008D6C1E">
        <w:rPr>
          <w:iCs/>
        </w:rPr>
        <w:t xml:space="preserve"> Elektr</w:t>
      </w:r>
      <w:r w:rsidR="003B6099">
        <w:rPr>
          <w:iCs/>
        </w:rPr>
        <w:t>a</w:t>
      </w:r>
      <w:r w:rsidR="008D6C1E">
        <w:rPr>
          <w:iCs/>
        </w:rPr>
        <w:t xml:space="preserve"> Maribo</w:t>
      </w:r>
      <w:r w:rsidR="002E0C22">
        <w:rPr>
          <w:iCs/>
        </w:rPr>
        <w:t xml:space="preserve">r </w:t>
      </w:r>
      <w:r w:rsidR="003B6099">
        <w:rPr>
          <w:iCs/>
        </w:rPr>
        <w:t>pa je bila za</w:t>
      </w:r>
      <w:r w:rsidR="002E0C22">
        <w:rPr>
          <w:iCs/>
        </w:rPr>
        <w:t xml:space="preserve"> 1,1 %</w:t>
      </w:r>
      <w:r w:rsidR="003B6099">
        <w:rPr>
          <w:iCs/>
        </w:rPr>
        <w:t xml:space="preserve"> večja</w:t>
      </w:r>
      <w:r w:rsidR="002E0C22">
        <w:rPr>
          <w:iCs/>
        </w:rPr>
        <w:t>.</w:t>
      </w:r>
      <w:r w:rsidR="00A151DB" w:rsidRPr="002A49A9">
        <w:rPr>
          <w:iCs/>
        </w:rPr>
        <w:t xml:space="preserve"> </w:t>
      </w:r>
      <w:r w:rsidR="00A151DB" w:rsidRPr="002A49A9">
        <w:t xml:space="preserve">Obračunska moč je izmerjena </w:t>
      </w:r>
      <w:r w:rsidR="00D07B65">
        <w:t xml:space="preserve">oziroma </w:t>
      </w:r>
      <w:r w:rsidR="00A151DB" w:rsidRPr="002A49A9">
        <w:t>določena glede na varovalko in je navedena na računu.</w:t>
      </w:r>
    </w:p>
    <w:p w:rsidR="002A49A9" w:rsidRDefault="002A49A9" w:rsidP="00E91206">
      <w:pPr>
        <w:spacing w:after="0" w:line="240" w:lineRule="auto"/>
        <w:jc w:val="both"/>
      </w:pPr>
    </w:p>
    <w:p w:rsidR="002A49A9" w:rsidRDefault="002E0C22" w:rsidP="00E91206">
      <w:pPr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4138D413" wp14:editId="3C2CC249">
            <wp:extent cx="5406887" cy="2369488"/>
            <wp:effectExtent l="0" t="0" r="22860" b="1206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99" w:rsidRPr="00084060" w:rsidRDefault="001C5799" w:rsidP="00E91206">
      <w:pPr>
        <w:spacing w:after="0" w:line="240" w:lineRule="auto"/>
        <w:jc w:val="both"/>
        <w:rPr>
          <w:rFonts w:eastAsia="Times New Roman" w:cs="Times New Roman"/>
          <w:bCs/>
          <w:color w:val="000000"/>
          <w:highlight w:val="yellow"/>
          <w:lang w:eastAsia="sl-SI"/>
        </w:rPr>
      </w:pPr>
    </w:p>
    <w:p w:rsidR="002A49A9" w:rsidRPr="006B37B0" w:rsidRDefault="004F753F" w:rsidP="00E91206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  <w:r w:rsidRPr="006B37B0">
        <w:rPr>
          <w:rFonts w:eastAsia="Times New Roman" w:cs="Times New Roman"/>
          <w:bCs/>
          <w:color w:val="000000"/>
          <w:lang w:eastAsia="sl-SI"/>
        </w:rPr>
        <w:t xml:space="preserve">Na območju </w:t>
      </w:r>
      <w:r w:rsidR="002E0C22">
        <w:rPr>
          <w:rFonts w:eastAsia="Times New Roman" w:cs="Times New Roman"/>
          <w:bCs/>
          <w:color w:val="000000"/>
          <w:lang w:eastAsia="sl-SI"/>
        </w:rPr>
        <w:t>Ptuja</w:t>
      </w:r>
      <w:r w:rsidRPr="006B37B0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1C5799" w:rsidRPr="006B37B0">
        <w:rPr>
          <w:rFonts w:eastAsia="Times New Roman" w:cs="Times New Roman"/>
          <w:bCs/>
          <w:color w:val="000000"/>
          <w:lang w:eastAsia="sl-SI"/>
        </w:rPr>
        <w:t xml:space="preserve">je </w:t>
      </w:r>
      <w:r w:rsidR="009D35DC" w:rsidRPr="006B37B0">
        <w:rPr>
          <w:rFonts w:eastAsia="Times New Roman" w:cs="Times New Roman"/>
          <w:bCs/>
          <w:color w:val="000000"/>
          <w:lang w:eastAsia="sl-SI"/>
        </w:rPr>
        <w:t>rasla</w:t>
      </w:r>
      <w:r w:rsidRPr="006B37B0">
        <w:rPr>
          <w:rFonts w:eastAsia="Times New Roman" w:cs="Times New Roman"/>
          <w:bCs/>
          <w:color w:val="000000"/>
          <w:lang w:eastAsia="sl-SI"/>
        </w:rPr>
        <w:t xml:space="preserve"> dis</w:t>
      </w:r>
      <w:r w:rsidR="001C5799" w:rsidRPr="006B37B0">
        <w:rPr>
          <w:rFonts w:eastAsia="Times New Roman" w:cs="Times New Roman"/>
          <w:bCs/>
          <w:color w:val="000000"/>
          <w:lang w:eastAsia="sl-SI"/>
        </w:rPr>
        <w:t xml:space="preserve">tribuirana električna energija </w:t>
      </w:r>
      <w:r w:rsidRPr="006B37B0">
        <w:rPr>
          <w:rFonts w:eastAsia="Times New Roman" w:cs="Times New Roman"/>
          <w:bCs/>
          <w:color w:val="000000"/>
          <w:lang w:eastAsia="sl-SI"/>
        </w:rPr>
        <w:t>d</w:t>
      </w:r>
      <w:r w:rsidR="009D35DC" w:rsidRPr="006B37B0">
        <w:rPr>
          <w:rFonts w:eastAsia="Times New Roman" w:cs="Times New Roman"/>
          <w:bCs/>
          <w:color w:val="000000"/>
          <w:lang w:eastAsia="sl-SI"/>
        </w:rPr>
        <w:t>o</w:t>
      </w:r>
      <w:r w:rsidRPr="006B37B0">
        <w:rPr>
          <w:rFonts w:eastAsia="Times New Roman" w:cs="Times New Roman"/>
          <w:bCs/>
          <w:color w:val="000000"/>
          <w:lang w:eastAsia="sl-SI"/>
        </w:rPr>
        <w:t xml:space="preserve"> leta 20</w:t>
      </w:r>
      <w:r w:rsidR="009D35DC" w:rsidRPr="006B37B0">
        <w:rPr>
          <w:rFonts w:eastAsia="Times New Roman" w:cs="Times New Roman"/>
          <w:bCs/>
          <w:color w:val="000000"/>
          <w:lang w:eastAsia="sl-SI"/>
        </w:rPr>
        <w:t>08.</w:t>
      </w:r>
      <w:r w:rsidR="001C5799" w:rsidRPr="006B37B0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D07B65">
        <w:rPr>
          <w:rFonts w:eastAsia="Times New Roman" w:cs="Times New Roman"/>
          <w:bCs/>
          <w:color w:val="000000"/>
          <w:lang w:eastAsia="sl-SI"/>
        </w:rPr>
        <w:t>V</w:t>
      </w:r>
      <w:r w:rsidR="00504AF3" w:rsidRPr="006B37B0">
        <w:rPr>
          <w:rFonts w:eastAsia="Times New Roman" w:cs="Times New Roman"/>
          <w:bCs/>
          <w:color w:val="000000"/>
          <w:lang w:eastAsia="sl-SI"/>
        </w:rPr>
        <w:t xml:space="preserve"> letu</w:t>
      </w:r>
      <w:r w:rsidR="009D35DC" w:rsidRPr="006B37B0">
        <w:rPr>
          <w:rFonts w:eastAsia="Times New Roman" w:cs="Times New Roman"/>
          <w:bCs/>
          <w:color w:val="000000"/>
          <w:lang w:eastAsia="sl-SI"/>
        </w:rPr>
        <w:t xml:space="preserve"> 2009 </w:t>
      </w:r>
      <w:r w:rsidR="00504AF3" w:rsidRPr="006B37B0">
        <w:rPr>
          <w:rFonts w:eastAsia="Times New Roman" w:cs="Times New Roman"/>
          <w:bCs/>
          <w:color w:val="000000"/>
          <w:lang w:eastAsia="sl-SI"/>
        </w:rPr>
        <w:t xml:space="preserve"> je padla, vendar </w:t>
      </w:r>
      <w:r w:rsidR="008D6C1E">
        <w:rPr>
          <w:rFonts w:eastAsia="Times New Roman" w:cs="Times New Roman"/>
          <w:bCs/>
          <w:color w:val="000000"/>
          <w:lang w:eastAsia="sl-SI"/>
        </w:rPr>
        <w:t>je v letu</w:t>
      </w:r>
      <w:r w:rsidR="002E0C22">
        <w:rPr>
          <w:rFonts w:eastAsia="Times New Roman" w:cs="Times New Roman"/>
          <w:bCs/>
          <w:color w:val="000000"/>
          <w:lang w:eastAsia="sl-SI"/>
        </w:rPr>
        <w:t xml:space="preserve"> 2010</w:t>
      </w:r>
      <w:r w:rsidR="009D35DC" w:rsidRPr="006B37B0">
        <w:rPr>
          <w:rFonts w:eastAsia="Times New Roman" w:cs="Times New Roman"/>
          <w:bCs/>
          <w:color w:val="000000"/>
          <w:lang w:eastAsia="sl-SI"/>
        </w:rPr>
        <w:t xml:space="preserve"> že </w:t>
      </w:r>
      <w:r w:rsidR="008D6C1E">
        <w:rPr>
          <w:rFonts w:eastAsia="Times New Roman" w:cs="Times New Roman"/>
          <w:bCs/>
          <w:color w:val="000000"/>
          <w:lang w:eastAsia="sl-SI"/>
        </w:rPr>
        <w:t>presegla</w:t>
      </w:r>
      <w:r w:rsidR="009D35DC" w:rsidRPr="006B37B0">
        <w:rPr>
          <w:rFonts w:eastAsia="Times New Roman" w:cs="Times New Roman"/>
          <w:bCs/>
          <w:color w:val="000000"/>
          <w:lang w:eastAsia="sl-SI"/>
        </w:rPr>
        <w:t xml:space="preserve"> vrednost iz leta 2008. </w:t>
      </w:r>
      <w:r w:rsidR="002E0C22">
        <w:rPr>
          <w:rFonts w:eastAsia="Times New Roman" w:cs="Times New Roman"/>
          <w:bCs/>
          <w:color w:val="000000"/>
          <w:lang w:eastAsia="sl-SI"/>
        </w:rPr>
        <w:t>Od leta 2011</w:t>
      </w:r>
      <w:r w:rsidR="002A49A9" w:rsidRPr="006B37B0">
        <w:rPr>
          <w:rFonts w:eastAsia="Times New Roman" w:cs="Times New Roman"/>
          <w:bCs/>
          <w:color w:val="000000"/>
          <w:lang w:eastAsia="sl-SI"/>
        </w:rPr>
        <w:t xml:space="preserve"> do 2014 je distribuirana energija </w:t>
      </w:r>
      <w:r w:rsidR="008D6C1E">
        <w:rPr>
          <w:rFonts w:eastAsia="Times New Roman" w:cs="Times New Roman"/>
          <w:bCs/>
          <w:color w:val="000000"/>
          <w:lang w:eastAsia="sl-SI"/>
        </w:rPr>
        <w:t>nihala</w:t>
      </w:r>
      <w:r w:rsidR="002A49A9" w:rsidRPr="006B37B0">
        <w:rPr>
          <w:rFonts w:eastAsia="Times New Roman" w:cs="Times New Roman"/>
          <w:bCs/>
          <w:color w:val="000000"/>
          <w:lang w:eastAsia="sl-SI"/>
        </w:rPr>
        <w:t xml:space="preserve">, medtem ko v obdobju zadnjih dveh let </w:t>
      </w:r>
      <w:r w:rsidR="00D07B65">
        <w:rPr>
          <w:rFonts w:eastAsia="Times New Roman" w:cs="Times New Roman"/>
          <w:bCs/>
          <w:color w:val="000000"/>
          <w:lang w:eastAsia="sl-SI"/>
        </w:rPr>
        <w:t xml:space="preserve">ponovno </w:t>
      </w:r>
      <w:r w:rsidR="002A49A9" w:rsidRPr="006B37B0">
        <w:rPr>
          <w:rFonts w:eastAsia="Times New Roman" w:cs="Times New Roman"/>
          <w:bCs/>
          <w:color w:val="000000"/>
          <w:lang w:eastAsia="sl-SI"/>
        </w:rPr>
        <w:t>raste</w:t>
      </w:r>
      <w:r w:rsidR="008D6C1E">
        <w:rPr>
          <w:rFonts w:eastAsia="Times New Roman" w:cs="Times New Roman"/>
          <w:bCs/>
          <w:color w:val="000000"/>
          <w:lang w:eastAsia="sl-SI"/>
        </w:rPr>
        <w:t xml:space="preserve"> in je leta 2016 dosegla rekordno raven</w:t>
      </w:r>
      <w:r w:rsidR="002A49A9" w:rsidRPr="006B37B0">
        <w:rPr>
          <w:rFonts w:eastAsia="Times New Roman" w:cs="Times New Roman"/>
          <w:bCs/>
          <w:color w:val="000000"/>
          <w:lang w:eastAsia="sl-SI"/>
        </w:rPr>
        <w:t>.</w:t>
      </w:r>
    </w:p>
    <w:p w:rsidR="004F753F" w:rsidRPr="006B37B0" w:rsidRDefault="004F753F" w:rsidP="00E91206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</w:p>
    <w:p w:rsidR="00551EA7" w:rsidRPr="00C959B1" w:rsidRDefault="00551EA7" w:rsidP="00E91206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</w:p>
    <w:p w:rsidR="00551EA7" w:rsidRPr="007441CC" w:rsidRDefault="00CF5DD9" w:rsidP="00E91206">
      <w:pPr>
        <w:spacing w:after="0" w:line="240" w:lineRule="auto"/>
        <w:jc w:val="center"/>
        <w:rPr>
          <w:rFonts w:eastAsia="Times New Roman" w:cs="Times New Roman"/>
          <w:bCs/>
          <w:color w:val="000000"/>
          <w:lang w:eastAsia="sl-SI"/>
        </w:rPr>
      </w:pPr>
      <w:r>
        <w:rPr>
          <w:noProof/>
          <w:lang w:eastAsia="sl-SI"/>
        </w:rPr>
        <w:drawing>
          <wp:inline distT="0" distB="0" distL="0" distR="0" wp14:anchorId="34D2C4CC" wp14:editId="14D49DEE">
            <wp:extent cx="5454595" cy="2297927"/>
            <wp:effectExtent l="0" t="0" r="13335" b="26670"/>
            <wp:docPr id="7" name="Grafikon 7" title="Distribuirana energij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D31" w:rsidRPr="007441CC" w:rsidRDefault="009E1D31" w:rsidP="00E91206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</w:p>
    <w:p w:rsidR="00E91206" w:rsidRPr="003B6099" w:rsidRDefault="003B6099" w:rsidP="003B6099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  <w:r w:rsidRPr="006B37B0">
        <w:rPr>
          <w:rFonts w:eastAsia="Times New Roman" w:cs="Times New Roman"/>
          <w:bCs/>
          <w:color w:val="000000"/>
          <w:lang w:eastAsia="sl-SI"/>
        </w:rPr>
        <w:t xml:space="preserve">Območje </w:t>
      </w:r>
      <w:r>
        <w:rPr>
          <w:rFonts w:eastAsia="Times New Roman" w:cs="Times New Roman"/>
          <w:bCs/>
          <w:color w:val="000000"/>
          <w:lang w:eastAsia="sl-SI"/>
        </w:rPr>
        <w:t xml:space="preserve">Ptuja izkazuje 1,6 % </w:t>
      </w:r>
      <w:r w:rsidRPr="006B37B0">
        <w:rPr>
          <w:rFonts w:eastAsia="Times New Roman" w:cs="Times New Roman"/>
          <w:bCs/>
          <w:color w:val="000000"/>
          <w:lang w:eastAsia="sl-SI"/>
        </w:rPr>
        <w:t>povprečno letno stopnjo rasti porabe v obdobju od leta 2005 do leta 2016</w:t>
      </w:r>
      <w:r>
        <w:rPr>
          <w:rFonts w:eastAsia="Times New Roman" w:cs="Times New Roman"/>
          <w:bCs/>
          <w:color w:val="000000"/>
          <w:lang w:eastAsia="sl-SI"/>
        </w:rPr>
        <w:t xml:space="preserve">. Povprečna rast porabe </w:t>
      </w:r>
      <w:r w:rsidRPr="006B37B0">
        <w:rPr>
          <w:rFonts w:eastAsia="Times New Roman" w:cs="Times New Roman"/>
          <w:bCs/>
          <w:color w:val="000000"/>
          <w:lang w:eastAsia="sl-SI"/>
        </w:rPr>
        <w:t>celo</w:t>
      </w:r>
      <w:r>
        <w:rPr>
          <w:rFonts w:eastAsia="Times New Roman" w:cs="Times New Roman"/>
          <w:bCs/>
          <w:color w:val="000000"/>
          <w:lang w:eastAsia="sl-SI"/>
        </w:rPr>
        <w:t>tnega območja</w:t>
      </w:r>
      <w:r w:rsidRPr="006B37B0">
        <w:rPr>
          <w:rFonts w:eastAsia="Times New Roman" w:cs="Times New Roman"/>
          <w:bCs/>
          <w:color w:val="000000"/>
          <w:lang w:eastAsia="sl-SI"/>
        </w:rPr>
        <w:t xml:space="preserve"> Elektra Maribor </w:t>
      </w:r>
      <w:r>
        <w:rPr>
          <w:rFonts w:eastAsia="Times New Roman" w:cs="Times New Roman"/>
          <w:bCs/>
          <w:color w:val="000000"/>
          <w:lang w:eastAsia="sl-SI"/>
        </w:rPr>
        <w:t xml:space="preserve">je nekoliko nižja in znaša </w:t>
      </w:r>
      <w:r w:rsidRPr="006B37B0">
        <w:rPr>
          <w:rFonts w:eastAsia="Times New Roman" w:cs="Times New Roman"/>
          <w:bCs/>
          <w:color w:val="000000"/>
          <w:lang w:eastAsia="sl-SI"/>
        </w:rPr>
        <w:t>1,4 %.</w:t>
      </w:r>
      <w:r w:rsidRPr="00504AF3">
        <w:rPr>
          <w:rFonts w:eastAsia="Times New Roman" w:cs="Times New Roman"/>
          <w:bCs/>
          <w:color w:val="000000"/>
          <w:lang w:eastAsia="sl-SI"/>
        </w:rPr>
        <w:t xml:space="preserve"> </w:t>
      </w:r>
    </w:p>
    <w:p w:rsidR="003126CE" w:rsidRPr="007441CC" w:rsidRDefault="003126CE" w:rsidP="00E91206">
      <w:pPr>
        <w:spacing w:after="0" w:line="240" w:lineRule="auto"/>
        <w:jc w:val="center"/>
        <w:rPr>
          <w:rFonts w:eastAsia="Times New Roman" w:cs="Times New Roman"/>
          <w:b/>
          <w:bCs/>
          <w:color w:val="0070C0"/>
          <w:lang w:eastAsia="sl-SI"/>
        </w:rPr>
      </w:pPr>
      <w:r w:rsidRPr="007441CC">
        <w:rPr>
          <w:rFonts w:eastAsia="Times New Roman" w:cs="Times New Roman"/>
          <w:b/>
          <w:bCs/>
          <w:color w:val="0070C0"/>
          <w:lang w:eastAsia="sl-SI"/>
        </w:rPr>
        <w:lastRenderedPageBreak/>
        <w:t>Viri energije</w:t>
      </w:r>
    </w:p>
    <w:p w:rsidR="00EB30F2" w:rsidRDefault="00EB30F2" w:rsidP="00E91206">
      <w:pPr>
        <w:spacing w:after="0" w:line="240" w:lineRule="auto"/>
        <w:jc w:val="both"/>
        <w:rPr>
          <w:highlight w:val="yellow"/>
        </w:rPr>
      </w:pPr>
    </w:p>
    <w:p w:rsidR="00063858" w:rsidRDefault="00063858" w:rsidP="00E91206">
      <w:pPr>
        <w:spacing w:after="0" w:line="240" w:lineRule="auto"/>
        <w:jc w:val="both"/>
      </w:pPr>
      <w:r>
        <w:t>V letu 2016</w:t>
      </w:r>
      <w:r w:rsidRPr="009E1D31">
        <w:t xml:space="preserve"> je na področju OE Ptuj delež proizvodnih virov znašal </w:t>
      </w:r>
      <w:r>
        <w:t>2</w:t>
      </w:r>
      <w:r w:rsidR="00E3791F">
        <w:t>4</w:t>
      </w:r>
      <w:r w:rsidRPr="009E1D31">
        <w:t xml:space="preserve"> %, le ti pa so v preteklem letu proizvedli </w:t>
      </w:r>
      <w:r w:rsidRPr="00063858">
        <w:rPr>
          <w:rFonts w:ascii="Calibri" w:eastAsia="Times New Roman" w:hAnsi="Calibri" w:cs="Calibri"/>
          <w:color w:val="000000"/>
          <w:lang w:eastAsia="sl-SI"/>
        </w:rPr>
        <w:t>74.037</w:t>
      </w:r>
      <w:r>
        <w:rPr>
          <w:rFonts w:ascii="Calibri" w:eastAsia="Times New Roman" w:hAnsi="Calibri" w:cs="Calibri"/>
          <w:color w:val="000000"/>
          <w:lang w:eastAsia="sl-SI"/>
        </w:rPr>
        <w:t xml:space="preserve"> </w:t>
      </w:r>
      <w:r w:rsidRPr="009E1D31">
        <w:t>MWh električne energije. Poglavitni proizvodni vir na tem območju je sončna energija, manjši delež pa predstavljajo drugi viri energije (plin, biomasa, voda).</w:t>
      </w:r>
    </w:p>
    <w:p w:rsidR="003B6099" w:rsidRPr="00063858" w:rsidRDefault="003B6099" w:rsidP="00E9120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063858" w:rsidRPr="009E1D31" w:rsidRDefault="00063858" w:rsidP="00E91206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9E1D31">
        <w:t>Razmerje med energijo iz prenosnega omrežja in proizvodnimi viri je bilo na območju Ptuja v letu 201</w:t>
      </w:r>
      <w:r>
        <w:t>6</w:t>
      </w:r>
      <w:r w:rsidRPr="009E1D31">
        <w:t xml:space="preserve"> </w:t>
      </w:r>
      <w:r>
        <w:t>76</w:t>
      </w:r>
      <w:r w:rsidRPr="009E1D31">
        <w:t>:</w:t>
      </w:r>
      <w:r>
        <w:t>24</w:t>
      </w:r>
      <w:r w:rsidRPr="009E1D31">
        <w:t>, medtem ko je bilo na celotnem območju Elektro Maribor 85:15</w:t>
      </w:r>
      <w:r>
        <w:t>.</w:t>
      </w:r>
    </w:p>
    <w:p w:rsidR="00063858" w:rsidRPr="009E1D31" w:rsidRDefault="00063858" w:rsidP="00E91206">
      <w:pPr>
        <w:spacing w:after="0" w:line="240" w:lineRule="auto"/>
        <w:jc w:val="both"/>
      </w:pPr>
    </w:p>
    <w:p w:rsidR="00063858" w:rsidRPr="009E1D31" w:rsidRDefault="00063858" w:rsidP="00E91206">
      <w:pPr>
        <w:spacing w:after="0" w:line="240" w:lineRule="auto"/>
        <w:jc w:val="both"/>
      </w:pPr>
      <w:r w:rsidRPr="009E1D31">
        <w:t>Razpršeni proizvodni viri imajo večplastne učinke. Zahtevajo tudi dodatna vlaganja v obstoječo elektrodistribucijsko infrastrukturo, dodatne ukrepe in aktivnosti pri njihovem vključevanju v omrežje in spremljanju obratovanja, lahko pa</w:t>
      </w:r>
      <w:bookmarkStart w:id="0" w:name="_GoBack"/>
      <w:bookmarkEnd w:id="0"/>
      <w:r w:rsidRPr="009E1D31">
        <w:t xml:space="preserve"> tudi negativno vplivajo na kakovost napetosti in zanesljivost obratovanja omrežja. Z nadaljnjimi vlaganji v razvoj omrežja in s stalnim izvajanjem vseh potrebnih ukrepov za zagotavljanje zanesljive in kakovostne oskrbe prebivalcev in gospodarstva z električno energijo bomo nadaljevali tudi v prihodnjih letih.</w:t>
      </w:r>
    </w:p>
    <w:p w:rsidR="00063858" w:rsidRPr="00084060" w:rsidRDefault="00063858" w:rsidP="00E91206">
      <w:pPr>
        <w:spacing w:after="0" w:line="240" w:lineRule="auto"/>
        <w:jc w:val="both"/>
        <w:rPr>
          <w:highlight w:val="yellow"/>
        </w:rPr>
      </w:pPr>
    </w:p>
    <w:p w:rsidR="00EB30F2" w:rsidRPr="00084060" w:rsidRDefault="00EB30F2" w:rsidP="00E91206">
      <w:pPr>
        <w:spacing w:after="0" w:line="240" w:lineRule="auto"/>
        <w:jc w:val="both"/>
        <w:rPr>
          <w:highlight w:val="yellow"/>
        </w:rPr>
      </w:pPr>
    </w:p>
    <w:p w:rsidR="00C90B88" w:rsidRPr="0008364D" w:rsidRDefault="00C90B88" w:rsidP="00E91206">
      <w:pPr>
        <w:spacing w:after="0" w:line="240" w:lineRule="auto"/>
        <w:jc w:val="center"/>
      </w:pPr>
      <w:r w:rsidRPr="0008364D">
        <w:rPr>
          <w:b/>
          <w:color w:val="0070C0"/>
        </w:rPr>
        <w:t>Prevzeta energija na prebivalca</w:t>
      </w:r>
    </w:p>
    <w:p w:rsidR="00C90B88" w:rsidRPr="0008364D" w:rsidRDefault="00C90B88" w:rsidP="00E91206">
      <w:pPr>
        <w:spacing w:after="0" w:line="240" w:lineRule="auto"/>
        <w:jc w:val="both"/>
      </w:pPr>
    </w:p>
    <w:p w:rsidR="004F753F" w:rsidRPr="000C63F1" w:rsidRDefault="00C90B88" w:rsidP="00E91206">
      <w:pPr>
        <w:spacing w:after="0" w:line="240" w:lineRule="auto"/>
        <w:jc w:val="both"/>
      </w:pPr>
      <w:r w:rsidRPr="000C63F1">
        <w:t>Skupna povpre</w:t>
      </w:r>
      <w:r w:rsidRPr="000C63F1">
        <w:rPr>
          <w:rFonts w:cs="Calibri"/>
        </w:rPr>
        <w:t>č</w:t>
      </w:r>
      <w:r w:rsidRPr="000C63F1">
        <w:t>no prevzeta energija na odjemalca na celotnem obmo</w:t>
      </w:r>
      <w:r w:rsidRPr="000C63F1">
        <w:rPr>
          <w:rFonts w:cs="Calibri"/>
        </w:rPr>
        <w:t>č</w:t>
      </w:r>
      <w:r w:rsidRPr="000C63F1">
        <w:t>ju</w:t>
      </w:r>
      <w:r w:rsidR="0011649F" w:rsidRPr="000C63F1">
        <w:t xml:space="preserve"> Elektra Maribora je v letu 2016 dosegla 10,7</w:t>
      </w:r>
      <w:r w:rsidRPr="000C63F1">
        <w:t xml:space="preserve"> MWh. </w:t>
      </w:r>
      <w:r w:rsidR="003B6099">
        <w:t xml:space="preserve">Na območju Ptuja pa je bila povprečna prevzeta energija na odjemalca 8,5 MWh, kar je kar 21 % </w:t>
      </w:r>
      <w:r w:rsidR="00D07B65">
        <w:t>pod</w:t>
      </w:r>
      <w:r w:rsidR="003B6099">
        <w:t xml:space="preserve"> povprečjem družbe</w:t>
      </w:r>
      <w:r w:rsidR="00D07B65">
        <w:t xml:space="preserve"> in predstavlja tudi sicer najnižjo vrednost med območnimi enotami Elektro Maribor</w:t>
      </w:r>
      <w:r w:rsidR="003B6099">
        <w:t>.</w:t>
      </w:r>
    </w:p>
    <w:p w:rsidR="00C90B88" w:rsidRDefault="00C90B88" w:rsidP="00E91206">
      <w:pPr>
        <w:spacing w:after="0" w:line="240" w:lineRule="auto"/>
        <w:jc w:val="both"/>
      </w:pPr>
    </w:p>
    <w:p w:rsidR="00405BA1" w:rsidRPr="0008364D" w:rsidRDefault="00405BA1" w:rsidP="00E91206">
      <w:pPr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32C478F9" wp14:editId="3661AEF7">
            <wp:extent cx="5486400" cy="2385391"/>
            <wp:effectExtent l="0" t="0" r="19050" b="1524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1EA7" w:rsidRDefault="00551EA7" w:rsidP="00E91206">
      <w:pPr>
        <w:spacing w:after="0" w:line="240" w:lineRule="auto"/>
        <w:jc w:val="both"/>
      </w:pPr>
    </w:p>
    <w:p w:rsidR="00E91206" w:rsidRPr="0008364D" w:rsidRDefault="00E91206" w:rsidP="00E91206">
      <w:pPr>
        <w:spacing w:after="0" w:line="240" w:lineRule="auto"/>
        <w:jc w:val="both"/>
      </w:pPr>
    </w:p>
    <w:p w:rsidR="00CD4BFD" w:rsidRPr="0008364D" w:rsidRDefault="00CD4BFD" w:rsidP="00E91206">
      <w:pPr>
        <w:spacing w:after="0" w:line="240" w:lineRule="auto"/>
        <w:jc w:val="center"/>
        <w:rPr>
          <w:b/>
          <w:color w:val="0070C0"/>
        </w:rPr>
      </w:pPr>
      <w:r w:rsidRPr="0008364D">
        <w:rPr>
          <w:b/>
          <w:color w:val="0070C0"/>
        </w:rPr>
        <w:t>Konična moč</w:t>
      </w:r>
    </w:p>
    <w:p w:rsidR="00CD4BFD" w:rsidRPr="00084060" w:rsidRDefault="00CD4BFD" w:rsidP="00E91206">
      <w:pPr>
        <w:spacing w:after="0" w:line="240" w:lineRule="auto"/>
        <w:jc w:val="both"/>
        <w:rPr>
          <w:highlight w:val="yellow"/>
        </w:rPr>
      </w:pPr>
    </w:p>
    <w:p w:rsidR="003B6099" w:rsidRDefault="00056C7C" w:rsidP="00E91206">
      <w:pPr>
        <w:spacing w:after="0" w:line="240" w:lineRule="auto"/>
        <w:jc w:val="both"/>
      </w:pPr>
      <w:r w:rsidRPr="000C63F1">
        <w:t>K</w:t>
      </w:r>
      <w:r w:rsidR="00D16670" w:rsidRPr="000C63F1">
        <w:t xml:space="preserve">onična moč </w:t>
      </w:r>
      <w:r w:rsidR="00CD4BFD" w:rsidRPr="000C63F1">
        <w:t xml:space="preserve">distribucijskega </w:t>
      </w:r>
      <w:r w:rsidR="00D16670" w:rsidRPr="000C63F1">
        <w:t xml:space="preserve">sistema </w:t>
      </w:r>
      <w:r w:rsidR="00CD4BFD" w:rsidRPr="000C63F1">
        <w:t xml:space="preserve">Elektro Maribor </w:t>
      </w:r>
      <w:r w:rsidR="00D16670" w:rsidRPr="000C63F1">
        <w:t xml:space="preserve">je bila </w:t>
      </w:r>
      <w:r w:rsidR="00D84944" w:rsidRPr="000C63F1">
        <w:t>v letu 201</w:t>
      </w:r>
      <w:r w:rsidR="00405BA1" w:rsidRPr="000C63F1">
        <w:t>6</w:t>
      </w:r>
      <w:r w:rsidR="0093597E" w:rsidRPr="000C63F1">
        <w:t xml:space="preserve"> </w:t>
      </w:r>
      <w:r w:rsidR="00D16670" w:rsidRPr="000C63F1">
        <w:t>najvišja v mesec</w:t>
      </w:r>
      <w:r w:rsidR="00366F2C" w:rsidRPr="000C63F1">
        <w:t xml:space="preserve">u </w:t>
      </w:r>
      <w:r w:rsidR="00405BA1" w:rsidRPr="000C63F1">
        <w:t>decembru</w:t>
      </w:r>
      <w:r w:rsidR="00F74302" w:rsidRPr="000C63F1">
        <w:t xml:space="preserve"> in </w:t>
      </w:r>
      <w:r w:rsidR="00405BA1" w:rsidRPr="000C63F1">
        <w:t>je znašala 407</w:t>
      </w:r>
      <w:r w:rsidR="00366F2C" w:rsidRPr="000C63F1">
        <w:t xml:space="preserve"> MW.</w:t>
      </w:r>
      <w:r w:rsidR="00D16670" w:rsidRPr="000C63F1">
        <w:t xml:space="preserve"> </w:t>
      </w:r>
    </w:p>
    <w:p w:rsidR="003B6099" w:rsidRDefault="003B6099" w:rsidP="00E91206">
      <w:pPr>
        <w:spacing w:after="0" w:line="240" w:lineRule="auto"/>
        <w:jc w:val="both"/>
      </w:pPr>
    </w:p>
    <w:p w:rsidR="00722225" w:rsidRDefault="00A40D70" w:rsidP="00E91206">
      <w:pPr>
        <w:spacing w:after="0" w:line="240" w:lineRule="auto"/>
        <w:jc w:val="both"/>
      </w:pPr>
      <w:r w:rsidRPr="000C63F1">
        <w:t xml:space="preserve">Konična moč distribucijskega sistema na področju OE </w:t>
      </w:r>
      <w:r w:rsidR="00063858">
        <w:t>Ptuj</w:t>
      </w:r>
      <w:r w:rsidRPr="000C63F1">
        <w:t xml:space="preserve"> je </w:t>
      </w:r>
      <w:r w:rsidR="00405BA1" w:rsidRPr="000C63F1">
        <w:t>v letu 2016</w:t>
      </w:r>
      <w:r w:rsidRPr="000C63F1">
        <w:t xml:space="preserve"> znašala </w:t>
      </w:r>
      <w:r w:rsidR="00063858">
        <w:t>rekordnih 57</w:t>
      </w:r>
      <w:r w:rsidRPr="000C63F1">
        <w:t xml:space="preserve"> MW, najvišja pa je bila v </w:t>
      </w:r>
      <w:r w:rsidR="00260F8F">
        <w:t>decembru</w:t>
      </w:r>
      <w:r w:rsidR="00063858">
        <w:t>.</w:t>
      </w:r>
    </w:p>
    <w:p w:rsidR="00405BA1" w:rsidRDefault="00405BA1" w:rsidP="00E91206">
      <w:pPr>
        <w:spacing w:after="0" w:line="240" w:lineRule="auto"/>
        <w:jc w:val="both"/>
      </w:pPr>
    </w:p>
    <w:p w:rsidR="00063858" w:rsidRPr="007441CC" w:rsidRDefault="00063858" w:rsidP="00E91206">
      <w:pPr>
        <w:spacing w:after="0" w:line="240" w:lineRule="auto"/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5C8210A5" wp14:editId="04C57EC2">
            <wp:extent cx="4214191" cy="2226366"/>
            <wp:effectExtent l="0" t="0" r="15240" b="2159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2225" w:rsidRPr="00084060" w:rsidRDefault="00722225" w:rsidP="00E91206">
      <w:pPr>
        <w:spacing w:after="0" w:line="240" w:lineRule="auto"/>
        <w:jc w:val="both"/>
        <w:rPr>
          <w:highlight w:val="yellow"/>
        </w:rPr>
      </w:pPr>
    </w:p>
    <w:p w:rsidR="00063858" w:rsidRDefault="00063858" w:rsidP="00E91206">
      <w:pPr>
        <w:spacing w:after="0" w:line="240" w:lineRule="auto"/>
        <w:jc w:val="both"/>
      </w:pPr>
    </w:p>
    <w:p w:rsidR="00405BA1" w:rsidRDefault="004F753F" w:rsidP="00E91206">
      <w:pPr>
        <w:spacing w:after="0" w:line="240" w:lineRule="auto"/>
        <w:jc w:val="both"/>
      </w:pPr>
      <w:r w:rsidRPr="0008364D">
        <w:t xml:space="preserve">Podatek o konični moči je še posebej pomemben pri načrtovanju razvoja elektrodistribucijskega omrežja, ki mora biti dimenzionirano tudi glede na konično moč. Če ta raste, se mora omrežje dodatno okrepiti. V to so usmerjena tudi prizadevanja družbe Elektro Maribor. Na rast konične obremenitve vplivajo v največji meri klimatski dejavniki, pa tudi gospodarska aktivnost (povečevanje obremenitev obstoječih ter priključevanje novih odjemalcev in proizvajalcev). </w:t>
      </w:r>
    </w:p>
    <w:p w:rsidR="00F852B4" w:rsidRDefault="00F852B4" w:rsidP="00F852B4">
      <w:pPr>
        <w:jc w:val="both"/>
      </w:pPr>
    </w:p>
    <w:sectPr w:rsidR="00F852B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F3" w:rsidRDefault="008B37F3" w:rsidP="001D0E69">
      <w:pPr>
        <w:spacing w:after="0" w:line="240" w:lineRule="auto"/>
      </w:pPr>
      <w:r>
        <w:separator/>
      </w:r>
    </w:p>
  </w:endnote>
  <w:endnote w:type="continuationSeparator" w:id="0">
    <w:p w:rsidR="008B37F3" w:rsidRDefault="008B37F3" w:rsidP="001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078828"/>
      <w:docPartObj>
        <w:docPartGallery w:val="Page Numbers (Bottom of Page)"/>
        <w:docPartUnique/>
      </w:docPartObj>
    </w:sdtPr>
    <w:sdtEndPr/>
    <w:sdtContent>
      <w:p w:rsidR="00370B49" w:rsidRDefault="00370B4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91F">
          <w:rPr>
            <w:noProof/>
          </w:rPr>
          <w:t>3</w:t>
        </w:r>
        <w:r>
          <w:fldChar w:fldCharType="end"/>
        </w:r>
      </w:p>
    </w:sdtContent>
  </w:sdt>
  <w:p w:rsidR="00370B49" w:rsidRDefault="00370B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F3" w:rsidRDefault="008B37F3" w:rsidP="001D0E69">
      <w:pPr>
        <w:spacing w:after="0" w:line="240" w:lineRule="auto"/>
      </w:pPr>
      <w:r>
        <w:separator/>
      </w:r>
    </w:p>
  </w:footnote>
  <w:footnote w:type="continuationSeparator" w:id="0">
    <w:p w:rsidR="008B37F3" w:rsidRDefault="008B37F3" w:rsidP="001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E8C"/>
    <w:multiLevelType w:val="hybridMultilevel"/>
    <w:tmpl w:val="CF382A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A4"/>
    <w:rsid w:val="00003ADE"/>
    <w:rsid w:val="0001337D"/>
    <w:rsid w:val="000223AE"/>
    <w:rsid w:val="0002307E"/>
    <w:rsid w:val="00030438"/>
    <w:rsid w:val="00033080"/>
    <w:rsid w:val="0004106F"/>
    <w:rsid w:val="0004209A"/>
    <w:rsid w:val="00056BEB"/>
    <w:rsid w:val="00056C7C"/>
    <w:rsid w:val="00061FCE"/>
    <w:rsid w:val="00063858"/>
    <w:rsid w:val="000708B3"/>
    <w:rsid w:val="000712A2"/>
    <w:rsid w:val="00072838"/>
    <w:rsid w:val="00076C0B"/>
    <w:rsid w:val="0008364D"/>
    <w:rsid w:val="00084060"/>
    <w:rsid w:val="00092DED"/>
    <w:rsid w:val="000A627D"/>
    <w:rsid w:val="000A750A"/>
    <w:rsid w:val="000B247F"/>
    <w:rsid w:val="000B2F30"/>
    <w:rsid w:val="000B547D"/>
    <w:rsid w:val="000C63F1"/>
    <w:rsid w:val="000E0E3F"/>
    <w:rsid w:val="000F5DEF"/>
    <w:rsid w:val="000F7703"/>
    <w:rsid w:val="00104721"/>
    <w:rsid w:val="0010633B"/>
    <w:rsid w:val="00107D0C"/>
    <w:rsid w:val="0011649F"/>
    <w:rsid w:val="00126377"/>
    <w:rsid w:val="00126BDB"/>
    <w:rsid w:val="001330AC"/>
    <w:rsid w:val="00133E86"/>
    <w:rsid w:val="00140592"/>
    <w:rsid w:val="00173CA7"/>
    <w:rsid w:val="00176AE6"/>
    <w:rsid w:val="00176F46"/>
    <w:rsid w:val="00180EFB"/>
    <w:rsid w:val="00193567"/>
    <w:rsid w:val="00197703"/>
    <w:rsid w:val="001A0314"/>
    <w:rsid w:val="001A17DE"/>
    <w:rsid w:val="001B58DA"/>
    <w:rsid w:val="001C22FE"/>
    <w:rsid w:val="001C5799"/>
    <w:rsid w:val="001C620F"/>
    <w:rsid w:val="001D0E69"/>
    <w:rsid w:val="001F0036"/>
    <w:rsid w:val="002028B2"/>
    <w:rsid w:val="002037FD"/>
    <w:rsid w:val="0021067E"/>
    <w:rsid w:val="00210A71"/>
    <w:rsid w:val="002113E4"/>
    <w:rsid w:val="00214CF0"/>
    <w:rsid w:val="00216363"/>
    <w:rsid w:val="00216992"/>
    <w:rsid w:val="002255AB"/>
    <w:rsid w:val="00247832"/>
    <w:rsid w:val="00250DE1"/>
    <w:rsid w:val="002527A5"/>
    <w:rsid w:val="00256E34"/>
    <w:rsid w:val="00257055"/>
    <w:rsid w:val="00257EB6"/>
    <w:rsid w:val="00260F8F"/>
    <w:rsid w:val="00266515"/>
    <w:rsid w:val="002665A7"/>
    <w:rsid w:val="002705C9"/>
    <w:rsid w:val="00294C29"/>
    <w:rsid w:val="00296ABE"/>
    <w:rsid w:val="002A3AF6"/>
    <w:rsid w:val="002A444F"/>
    <w:rsid w:val="002A49A9"/>
    <w:rsid w:val="002C0542"/>
    <w:rsid w:val="002C2039"/>
    <w:rsid w:val="002C7A9E"/>
    <w:rsid w:val="002E0C22"/>
    <w:rsid w:val="002E19C0"/>
    <w:rsid w:val="002E3DB6"/>
    <w:rsid w:val="002F13EF"/>
    <w:rsid w:val="00301065"/>
    <w:rsid w:val="003018C9"/>
    <w:rsid w:val="0030482D"/>
    <w:rsid w:val="00307D92"/>
    <w:rsid w:val="003126CE"/>
    <w:rsid w:val="00312F46"/>
    <w:rsid w:val="0032165E"/>
    <w:rsid w:val="003239D4"/>
    <w:rsid w:val="00326809"/>
    <w:rsid w:val="00332FBD"/>
    <w:rsid w:val="00333D4C"/>
    <w:rsid w:val="00335DB7"/>
    <w:rsid w:val="003446B7"/>
    <w:rsid w:val="00345825"/>
    <w:rsid w:val="00346843"/>
    <w:rsid w:val="003630FD"/>
    <w:rsid w:val="00366F2C"/>
    <w:rsid w:val="00370B49"/>
    <w:rsid w:val="00370C5F"/>
    <w:rsid w:val="00371AE3"/>
    <w:rsid w:val="00374B35"/>
    <w:rsid w:val="00382F1D"/>
    <w:rsid w:val="00385392"/>
    <w:rsid w:val="00391731"/>
    <w:rsid w:val="003931C7"/>
    <w:rsid w:val="003A03E3"/>
    <w:rsid w:val="003A723F"/>
    <w:rsid w:val="003B6099"/>
    <w:rsid w:val="003B7766"/>
    <w:rsid w:val="003C1464"/>
    <w:rsid w:val="003C1C2A"/>
    <w:rsid w:val="003C7EDE"/>
    <w:rsid w:val="003D6BE4"/>
    <w:rsid w:val="003E08C5"/>
    <w:rsid w:val="003F2BBA"/>
    <w:rsid w:val="0040078A"/>
    <w:rsid w:val="00401078"/>
    <w:rsid w:val="004024A7"/>
    <w:rsid w:val="00402E52"/>
    <w:rsid w:val="00405BA1"/>
    <w:rsid w:val="00405C9A"/>
    <w:rsid w:val="00407387"/>
    <w:rsid w:val="00426B8F"/>
    <w:rsid w:val="00426ED5"/>
    <w:rsid w:val="00441FCB"/>
    <w:rsid w:val="00447236"/>
    <w:rsid w:val="00460138"/>
    <w:rsid w:val="00470BC3"/>
    <w:rsid w:val="00475247"/>
    <w:rsid w:val="004774CF"/>
    <w:rsid w:val="0048269D"/>
    <w:rsid w:val="00483069"/>
    <w:rsid w:val="0048460C"/>
    <w:rsid w:val="00485B76"/>
    <w:rsid w:val="004B31E9"/>
    <w:rsid w:val="004D0F97"/>
    <w:rsid w:val="004D3BDB"/>
    <w:rsid w:val="004D4000"/>
    <w:rsid w:val="004D7573"/>
    <w:rsid w:val="004E352A"/>
    <w:rsid w:val="004F5E20"/>
    <w:rsid w:val="004F753F"/>
    <w:rsid w:val="0050217C"/>
    <w:rsid w:val="00504AF3"/>
    <w:rsid w:val="0051548C"/>
    <w:rsid w:val="00517BE7"/>
    <w:rsid w:val="005255B6"/>
    <w:rsid w:val="005269B7"/>
    <w:rsid w:val="005465B9"/>
    <w:rsid w:val="00551EA7"/>
    <w:rsid w:val="00552A52"/>
    <w:rsid w:val="00553C64"/>
    <w:rsid w:val="00563CC7"/>
    <w:rsid w:val="00583C82"/>
    <w:rsid w:val="005869F8"/>
    <w:rsid w:val="005927B2"/>
    <w:rsid w:val="005B03C1"/>
    <w:rsid w:val="005B09E9"/>
    <w:rsid w:val="005B55EF"/>
    <w:rsid w:val="005D4300"/>
    <w:rsid w:val="005F5E38"/>
    <w:rsid w:val="00601C35"/>
    <w:rsid w:val="0060698E"/>
    <w:rsid w:val="00642AB2"/>
    <w:rsid w:val="00653C3E"/>
    <w:rsid w:val="0066761B"/>
    <w:rsid w:val="006731DB"/>
    <w:rsid w:val="006737E4"/>
    <w:rsid w:val="00673BF4"/>
    <w:rsid w:val="00673CB1"/>
    <w:rsid w:val="00674C53"/>
    <w:rsid w:val="00676193"/>
    <w:rsid w:val="00690123"/>
    <w:rsid w:val="006978DF"/>
    <w:rsid w:val="006A2AE6"/>
    <w:rsid w:val="006B06EC"/>
    <w:rsid w:val="006B37B0"/>
    <w:rsid w:val="006B548A"/>
    <w:rsid w:val="006C14A8"/>
    <w:rsid w:val="006D2BEE"/>
    <w:rsid w:val="006D73C8"/>
    <w:rsid w:val="006F094F"/>
    <w:rsid w:val="006F0A67"/>
    <w:rsid w:val="006F1E47"/>
    <w:rsid w:val="006F608E"/>
    <w:rsid w:val="00710468"/>
    <w:rsid w:val="00711F12"/>
    <w:rsid w:val="00722225"/>
    <w:rsid w:val="0072586E"/>
    <w:rsid w:val="00740EAD"/>
    <w:rsid w:val="00740F7B"/>
    <w:rsid w:val="00742399"/>
    <w:rsid w:val="007441CC"/>
    <w:rsid w:val="007469EC"/>
    <w:rsid w:val="0074739A"/>
    <w:rsid w:val="00750DA2"/>
    <w:rsid w:val="007523AB"/>
    <w:rsid w:val="00755A49"/>
    <w:rsid w:val="007640E4"/>
    <w:rsid w:val="007644A7"/>
    <w:rsid w:val="00767D68"/>
    <w:rsid w:val="007815EC"/>
    <w:rsid w:val="0079122C"/>
    <w:rsid w:val="007931F6"/>
    <w:rsid w:val="007948EF"/>
    <w:rsid w:val="00797115"/>
    <w:rsid w:val="007A4B17"/>
    <w:rsid w:val="007B30BA"/>
    <w:rsid w:val="007B33C9"/>
    <w:rsid w:val="007D0F8B"/>
    <w:rsid w:val="007D5FF0"/>
    <w:rsid w:val="007D6E70"/>
    <w:rsid w:val="007E00BC"/>
    <w:rsid w:val="007E2CC6"/>
    <w:rsid w:val="007F5ACA"/>
    <w:rsid w:val="00800A7F"/>
    <w:rsid w:val="0081512D"/>
    <w:rsid w:val="00820561"/>
    <w:rsid w:val="00825039"/>
    <w:rsid w:val="0083012B"/>
    <w:rsid w:val="00852D6B"/>
    <w:rsid w:val="008549E6"/>
    <w:rsid w:val="00855278"/>
    <w:rsid w:val="0088158E"/>
    <w:rsid w:val="00882024"/>
    <w:rsid w:val="00884A32"/>
    <w:rsid w:val="00884F6E"/>
    <w:rsid w:val="008A169D"/>
    <w:rsid w:val="008A29BD"/>
    <w:rsid w:val="008B37F3"/>
    <w:rsid w:val="008D320D"/>
    <w:rsid w:val="008D6C1E"/>
    <w:rsid w:val="008E1360"/>
    <w:rsid w:val="008E4558"/>
    <w:rsid w:val="008E63D7"/>
    <w:rsid w:val="008F1C27"/>
    <w:rsid w:val="00900ECC"/>
    <w:rsid w:val="00906E02"/>
    <w:rsid w:val="00916959"/>
    <w:rsid w:val="009320A9"/>
    <w:rsid w:val="00933F7D"/>
    <w:rsid w:val="0093597E"/>
    <w:rsid w:val="00944266"/>
    <w:rsid w:val="009447CE"/>
    <w:rsid w:val="00952081"/>
    <w:rsid w:val="009555D0"/>
    <w:rsid w:val="0095575A"/>
    <w:rsid w:val="0097031D"/>
    <w:rsid w:val="00972483"/>
    <w:rsid w:val="00982624"/>
    <w:rsid w:val="00992CA5"/>
    <w:rsid w:val="009A5E54"/>
    <w:rsid w:val="009A607E"/>
    <w:rsid w:val="009A6E5B"/>
    <w:rsid w:val="009B564D"/>
    <w:rsid w:val="009D35DC"/>
    <w:rsid w:val="009D77C3"/>
    <w:rsid w:val="009E1D31"/>
    <w:rsid w:val="009F022F"/>
    <w:rsid w:val="009F4F46"/>
    <w:rsid w:val="00A02FA0"/>
    <w:rsid w:val="00A077D6"/>
    <w:rsid w:val="00A151DB"/>
    <w:rsid w:val="00A267A3"/>
    <w:rsid w:val="00A35B81"/>
    <w:rsid w:val="00A40C44"/>
    <w:rsid w:val="00A40D70"/>
    <w:rsid w:val="00A67B73"/>
    <w:rsid w:val="00A75B12"/>
    <w:rsid w:val="00A80944"/>
    <w:rsid w:val="00A90B20"/>
    <w:rsid w:val="00AA266C"/>
    <w:rsid w:val="00AB6D25"/>
    <w:rsid w:val="00AD2BFA"/>
    <w:rsid w:val="00AD449C"/>
    <w:rsid w:val="00AD6BEA"/>
    <w:rsid w:val="00AD78C0"/>
    <w:rsid w:val="00AE3918"/>
    <w:rsid w:val="00AE6AA3"/>
    <w:rsid w:val="00AF5C55"/>
    <w:rsid w:val="00B0681B"/>
    <w:rsid w:val="00B06D17"/>
    <w:rsid w:val="00B21A7C"/>
    <w:rsid w:val="00B24162"/>
    <w:rsid w:val="00B25F14"/>
    <w:rsid w:val="00B34590"/>
    <w:rsid w:val="00B36460"/>
    <w:rsid w:val="00B37AB1"/>
    <w:rsid w:val="00B42662"/>
    <w:rsid w:val="00B611AB"/>
    <w:rsid w:val="00B6699C"/>
    <w:rsid w:val="00B71491"/>
    <w:rsid w:val="00B748BB"/>
    <w:rsid w:val="00B82369"/>
    <w:rsid w:val="00B946F0"/>
    <w:rsid w:val="00BA0A73"/>
    <w:rsid w:val="00BA33C9"/>
    <w:rsid w:val="00BA6B23"/>
    <w:rsid w:val="00BB14B9"/>
    <w:rsid w:val="00BB1966"/>
    <w:rsid w:val="00BB45B2"/>
    <w:rsid w:val="00BC2ECB"/>
    <w:rsid w:val="00BC558F"/>
    <w:rsid w:val="00BD30A7"/>
    <w:rsid w:val="00BD32D0"/>
    <w:rsid w:val="00BD4EDC"/>
    <w:rsid w:val="00BE2181"/>
    <w:rsid w:val="00BE5C8A"/>
    <w:rsid w:val="00BE5DF5"/>
    <w:rsid w:val="00C02319"/>
    <w:rsid w:val="00C03FC1"/>
    <w:rsid w:val="00C05DCC"/>
    <w:rsid w:val="00C070BC"/>
    <w:rsid w:val="00C15E0B"/>
    <w:rsid w:val="00C2147C"/>
    <w:rsid w:val="00C25895"/>
    <w:rsid w:val="00C25EE3"/>
    <w:rsid w:val="00C26C45"/>
    <w:rsid w:val="00C26C4D"/>
    <w:rsid w:val="00C312CD"/>
    <w:rsid w:val="00C31A77"/>
    <w:rsid w:val="00C360DB"/>
    <w:rsid w:val="00C601E3"/>
    <w:rsid w:val="00C751C3"/>
    <w:rsid w:val="00C75F38"/>
    <w:rsid w:val="00C83482"/>
    <w:rsid w:val="00C856B5"/>
    <w:rsid w:val="00C90B88"/>
    <w:rsid w:val="00C920BD"/>
    <w:rsid w:val="00C959B1"/>
    <w:rsid w:val="00CA7281"/>
    <w:rsid w:val="00CB76D4"/>
    <w:rsid w:val="00CC1B3E"/>
    <w:rsid w:val="00CC1C26"/>
    <w:rsid w:val="00CC4212"/>
    <w:rsid w:val="00CD3E63"/>
    <w:rsid w:val="00CD4BFD"/>
    <w:rsid w:val="00CE00FA"/>
    <w:rsid w:val="00CF1D83"/>
    <w:rsid w:val="00CF5712"/>
    <w:rsid w:val="00CF58A3"/>
    <w:rsid w:val="00CF5DD9"/>
    <w:rsid w:val="00D00913"/>
    <w:rsid w:val="00D048A5"/>
    <w:rsid w:val="00D07B65"/>
    <w:rsid w:val="00D16670"/>
    <w:rsid w:val="00D42E60"/>
    <w:rsid w:val="00D572DD"/>
    <w:rsid w:val="00D7164E"/>
    <w:rsid w:val="00D762A9"/>
    <w:rsid w:val="00D84944"/>
    <w:rsid w:val="00D85CC3"/>
    <w:rsid w:val="00DB4F19"/>
    <w:rsid w:val="00DC0F16"/>
    <w:rsid w:val="00DC1F69"/>
    <w:rsid w:val="00DC3578"/>
    <w:rsid w:val="00DC42BA"/>
    <w:rsid w:val="00DE0D67"/>
    <w:rsid w:val="00DE7204"/>
    <w:rsid w:val="00E00158"/>
    <w:rsid w:val="00E0024E"/>
    <w:rsid w:val="00E12C3D"/>
    <w:rsid w:val="00E31FC5"/>
    <w:rsid w:val="00E3791F"/>
    <w:rsid w:val="00E37C99"/>
    <w:rsid w:val="00E37EA7"/>
    <w:rsid w:val="00E4121C"/>
    <w:rsid w:val="00E46AB3"/>
    <w:rsid w:val="00E47AD5"/>
    <w:rsid w:val="00E574AF"/>
    <w:rsid w:val="00E601B5"/>
    <w:rsid w:val="00E655B1"/>
    <w:rsid w:val="00E713E4"/>
    <w:rsid w:val="00E77BF9"/>
    <w:rsid w:val="00E8465A"/>
    <w:rsid w:val="00E91206"/>
    <w:rsid w:val="00E97E56"/>
    <w:rsid w:val="00EB30F2"/>
    <w:rsid w:val="00EC1EB4"/>
    <w:rsid w:val="00EC3CD2"/>
    <w:rsid w:val="00EC5EF6"/>
    <w:rsid w:val="00ED2DFF"/>
    <w:rsid w:val="00ED5570"/>
    <w:rsid w:val="00EE1A2E"/>
    <w:rsid w:val="00EF08EE"/>
    <w:rsid w:val="00F03AAB"/>
    <w:rsid w:val="00F075D2"/>
    <w:rsid w:val="00F17C70"/>
    <w:rsid w:val="00F21FEE"/>
    <w:rsid w:val="00F228A3"/>
    <w:rsid w:val="00F31D21"/>
    <w:rsid w:val="00F37CAB"/>
    <w:rsid w:val="00F45AA4"/>
    <w:rsid w:val="00F4798C"/>
    <w:rsid w:val="00F50D9A"/>
    <w:rsid w:val="00F74302"/>
    <w:rsid w:val="00F75B69"/>
    <w:rsid w:val="00F77947"/>
    <w:rsid w:val="00F8382D"/>
    <w:rsid w:val="00F852B4"/>
    <w:rsid w:val="00F9180B"/>
    <w:rsid w:val="00F91A99"/>
    <w:rsid w:val="00F91F97"/>
    <w:rsid w:val="00F964AC"/>
    <w:rsid w:val="00FA2DDF"/>
    <w:rsid w:val="00FB6613"/>
    <w:rsid w:val="00FC2D9D"/>
    <w:rsid w:val="00FD02A8"/>
    <w:rsid w:val="00FD13E3"/>
    <w:rsid w:val="00FE19DB"/>
    <w:rsid w:val="00FE59F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9372"/>
  <w15:docId w15:val="{CAA4FB20-0586-4BCE-AA56-2435A1C1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3F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F5D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AA4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0F5D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udarek">
    <w:name w:val="Emphasis"/>
    <w:basedOn w:val="Privzetapisavaodstavka"/>
    <w:uiPriority w:val="20"/>
    <w:qFormat/>
    <w:rsid w:val="000F5DEF"/>
    <w:rPr>
      <w:b/>
      <w:bCs/>
      <w:i w:val="0"/>
      <w:iCs w:val="0"/>
    </w:rPr>
  </w:style>
  <w:style w:type="character" w:customStyle="1" w:styleId="st">
    <w:name w:val="st"/>
    <w:basedOn w:val="Privzetapisavaodstavka"/>
    <w:rsid w:val="000F5DEF"/>
  </w:style>
  <w:style w:type="character" w:styleId="Pripombasklic">
    <w:name w:val="annotation reference"/>
    <w:basedOn w:val="Privzetapisavaodstavka"/>
    <w:uiPriority w:val="99"/>
    <w:semiHidden/>
    <w:unhideWhenUsed/>
    <w:rsid w:val="003C7E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ED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E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E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ED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0E69"/>
  </w:style>
  <w:style w:type="paragraph" w:styleId="Noga">
    <w:name w:val="footer"/>
    <w:basedOn w:val="Navaden"/>
    <w:link w:val="Nog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0E69"/>
  </w:style>
  <w:style w:type="table" w:styleId="Tabelamrea">
    <w:name w:val="Table Grid"/>
    <w:basedOn w:val="Navadnatabela"/>
    <w:uiPriority w:val="59"/>
    <w:rsid w:val="009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3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3ADE"/>
    <w:rPr>
      <w:color w:val="800080" w:themeColor="followedHyperlink"/>
      <w:u w:val="single"/>
    </w:rPr>
  </w:style>
  <w:style w:type="character" w:customStyle="1" w:styleId="naziv">
    <w:name w:val="naziv"/>
    <w:basedOn w:val="Privzetapisavaodstavka"/>
    <w:rsid w:val="00F852B4"/>
  </w:style>
  <w:style w:type="paragraph" w:styleId="HTML-oblikovano">
    <w:name w:val="HTML Preformatted"/>
    <w:basedOn w:val="Navaden"/>
    <w:link w:val="HTML-oblikovanoZnak"/>
    <w:uiPriority w:val="99"/>
    <w:unhideWhenUsed/>
    <w:rsid w:val="00F8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F852B4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rezrazmikov">
    <w:name w:val="No Spacing"/>
    <w:uiPriority w:val="1"/>
    <w:qFormat/>
    <w:rsid w:val="00F852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3621\Desktop\Novinarske%20konference\Distribuirana%20ee%202005-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3621\Desktop\Novinarske%20konference\Distribuirana%20ee%202005-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3621\Desktop\Novinarske%20konference\Distribuirana%20ee%202005-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m3621\Desktop\Novinarske%20konference\Distribuirana%20ee%202005-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Distribuirana električna energija na območju </a:t>
            </a:r>
            <a:r>
              <a:rPr lang="sl-SI" sz="1400" b="1" i="0" baseline="0">
                <a:solidFill>
                  <a:sysClr val="windowText" lastClr="000000"/>
                </a:solidFill>
                <a:effectLst/>
              </a:rPr>
              <a:t>OE Ptuj (</a:t>
            </a: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MWh</a:t>
            </a:r>
            <a:r>
              <a:rPr lang="sl-SI" sz="1400" b="1" i="0" baseline="0">
                <a:solidFill>
                  <a:sysClr val="windowText" lastClr="000000"/>
                </a:solidFill>
                <a:effectLst/>
              </a:rPr>
              <a:t>)</a:t>
            </a:r>
            <a:endParaRPr lang="sl-SI" sz="11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'Poraba po OE 2005-2016'!$A$4</c:f>
              <c:strCache>
                <c:ptCount val="1"/>
                <c:pt idx="0">
                  <c:v>OE Ptuj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2005-2016'!$B$4:$M$4</c:f>
              <c:numCache>
                <c:formatCode>#,##0</c:formatCode>
                <c:ptCount val="12"/>
                <c:pt idx="0">
                  <c:v>250508.962</c:v>
                </c:pt>
                <c:pt idx="1">
                  <c:v>265105.02799999999</c:v>
                </c:pt>
                <c:pt idx="2">
                  <c:v>275719.07699999999</c:v>
                </c:pt>
                <c:pt idx="3">
                  <c:v>289331.87099999998</c:v>
                </c:pt>
                <c:pt idx="4">
                  <c:v>285118.51500000001</c:v>
                </c:pt>
                <c:pt idx="5">
                  <c:v>294580.48599999998</c:v>
                </c:pt>
                <c:pt idx="6">
                  <c:v>291716.66700000002</c:v>
                </c:pt>
                <c:pt idx="7">
                  <c:v>286630.679</c:v>
                </c:pt>
                <c:pt idx="8">
                  <c:v>287845.84100000001</c:v>
                </c:pt>
                <c:pt idx="9">
                  <c:v>283224.55800000002</c:v>
                </c:pt>
                <c:pt idx="10">
                  <c:v>291827.42499999999</c:v>
                </c:pt>
                <c:pt idx="11">
                  <c:v>299550.55599999998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7-4E9C-95BE-825FB7B53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652864"/>
        <c:axId val="77246848"/>
      </c:barChart>
      <c:catAx>
        <c:axId val="7365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7246848"/>
        <c:crosses val="autoZero"/>
        <c:auto val="1"/>
        <c:lblAlgn val="ctr"/>
        <c:lblOffset val="100"/>
        <c:noMultiLvlLbl val="0"/>
      </c:catAx>
      <c:valAx>
        <c:axId val="7724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050" b="1" i="0" baseline="0">
                    <a:solidFill>
                      <a:sysClr val="windowText" lastClr="000000"/>
                    </a:solidFill>
                    <a:effectLst/>
                  </a:rPr>
                  <a:t>Distribuirana energija (MWh)</a:t>
                </a:r>
                <a:endParaRPr lang="sl-SI" sz="1050">
                  <a:solidFill>
                    <a:sysClr val="windowText" lastClr="00000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2.4706609017912291E-2"/>
              <c:y val="0.2543981481481482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3652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400" b="1" i="0" baseline="0">
                <a:effectLst/>
                <a:latin typeface="+mn-lt"/>
              </a:rPr>
              <a:t>Distribuirana energija po OE [MWh]</a:t>
            </a:r>
            <a:endParaRPr lang="sl-SI" sz="1400">
              <a:effectLst/>
              <a:latin typeface="+mn-lt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'Poraba po OE 2005-2016'!$A$2</c:f>
              <c:strCache>
                <c:ptCount val="1"/>
                <c:pt idx="0">
                  <c:v>OE Maribor z okolico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2005-2016'!$B$2:$M$2</c:f>
              <c:numCache>
                <c:formatCode>#,##0</c:formatCode>
                <c:ptCount val="12"/>
                <c:pt idx="0">
                  <c:v>819817.18799999997</c:v>
                </c:pt>
                <c:pt idx="1">
                  <c:v>869112.24199999997</c:v>
                </c:pt>
                <c:pt idx="2">
                  <c:v>897502.92099999997</c:v>
                </c:pt>
                <c:pt idx="3">
                  <c:v>931082.09299999999</c:v>
                </c:pt>
                <c:pt idx="4">
                  <c:v>894281.022</c:v>
                </c:pt>
                <c:pt idx="5">
                  <c:v>923868.49300000002</c:v>
                </c:pt>
                <c:pt idx="6">
                  <c:v>929561.85</c:v>
                </c:pt>
                <c:pt idx="7">
                  <c:v>916052.39199999999</c:v>
                </c:pt>
                <c:pt idx="8">
                  <c:v>910036.11699999997</c:v>
                </c:pt>
                <c:pt idx="9">
                  <c:v>882862.99899999995</c:v>
                </c:pt>
                <c:pt idx="10">
                  <c:v>884340.15300000005</c:v>
                </c:pt>
                <c:pt idx="11">
                  <c:v>889722.95799999998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316-40D8-BB13-9E3CD454CBFC}"/>
            </c:ext>
          </c:extLst>
        </c:ser>
        <c:ser>
          <c:idx val="1"/>
          <c:order val="1"/>
          <c:tx>
            <c:strRef>
              <c:f>'Poraba po OE 2005-2016'!$A$3</c:f>
              <c:strCache>
                <c:ptCount val="1"/>
                <c:pt idx="0">
                  <c:v>OE Slovenska Bistrica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2005-2016'!$B$3:$M$3</c:f>
              <c:numCache>
                <c:formatCode>#,##0</c:formatCode>
                <c:ptCount val="12"/>
                <c:pt idx="0">
                  <c:v>388423.09499999997</c:v>
                </c:pt>
                <c:pt idx="1">
                  <c:v>416262.36200000002</c:v>
                </c:pt>
                <c:pt idx="2">
                  <c:v>434017.52299999999</c:v>
                </c:pt>
                <c:pt idx="3">
                  <c:v>436539.571</c:v>
                </c:pt>
                <c:pt idx="4">
                  <c:v>411631.50599999999</c:v>
                </c:pt>
                <c:pt idx="5">
                  <c:v>448711.17</c:v>
                </c:pt>
                <c:pt idx="6">
                  <c:v>464629.61599999998</c:v>
                </c:pt>
                <c:pt idx="7">
                  <c:v>452427.87900000002</c:v>
                </c:pt>
                <c:pt idx="8">
                  <c:v>455880.72200000001</c:v>
                </c:pt>
                <c:pt idx="9">
                  <c:v>460005.94500000001</c:v>
                </c:pt>
                <c:pt idx="10">
                  <c:v>476150.28200000001</c:v>
                </c:pt>
                <c:pt idx="11">
                  <c:v>486836.353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316-40D8-BB13-9E3CD454CBFC}"/>
            </c:ext>
          </c:extLst>
        </c:ser>
        <c:ser>
          <c:idx val="2"/>
          <c:order val="2"/>
          <c:tx>
            <c:strRef>
              <c:f>'Poraba po OE 2005-2016'!$A$4</c:f>
              <c:strCache>
                <c:ptCount val="1"/>
                <c:pt idx="0">
                  <c:v>OE Ptuj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2005-2016'!$B$4:$M$4</c:f>
              <c:numCache>
                <c:formatCode>#,##0</c:formatCode>
                <c:ptCount val="12"/>
                <c:pt idx="0">
                  <c:v>250508.962</c:v>
                </c:pt>
                <c:pt idx="1">
                  <c:v>265105.02799999999</c:v>
                </c:pt>
                <c:pt idx="2">
                  <c:v>275719.07699999999</c:v>
                </c:pt>
                <c:pt idx="3">
                  <c:v>289331.87099999998</c:v>
                </c:pt>
                <c:pt idx="4">
                  <c:v>285118.51500000001</c:v>
                </c:pt>
                <c:pt idx="5">
                  <c:v>294580.48599999998</c:v>
                </c:pt>
                <c:pt idx="6">
                  <c:v>291716.66700000002</c:v>
                </c:pt>
                <c:pt idx="7">
                  <c:v>286630.679</c:v>
                </c:pt>
                <c:pt idx="8">
                  <c:v>287845.84100000001</c:v>
                </c:pt>
                <c:pt idx="9">
                  <c:v>283224.55800000002</c:v>
                </c:pt>
                <c:pt idx="10">
                  <c:v>291827.42499999999</c:v>
                </c:pt>
                <c:pt idx="11">
                  <c:v>299550.55599999998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316-40D8-BB13-9E3CD454CBFC}"/>
            </c:ext>
          </c:extLst>
        </c:ser>
        <c:ser>
          <c:idx val="3"/>
          <c:order val="3"/>
          <c:tx>
            <c:strRef>
              <c:f>'Poraba po OE 2005-2016'!$A$5</c:f>
              <c:strCache>
                <c:ptCount val="1"/>
                <c:pt idx="0">
                  <c:v>OE Gornja Radgona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2005-2016'!$B$5:$M$5</c:f>
              <c:numCache>
                <c:formatCode>#,##0</c:formatCode>
                <c:ptCount val="12"/>
                <c:pt idx="0">
                  <c:v>169499.65299999999</c:v>
                </c:pt>
                <c:pt idx="1">
                  <c:v>163768.72200000001</c:v>
                </c:pt>
                <c:pt idx="2">
                  <c:v>171079.20199999999</c:v>
                </c:pt>
                <c:pt idx="3">
                  <c:v>178242.25700000001</c:v>
                </c:pt>
                <c:pt idx="4">
                  <c:v>169966.77799999999</c:v>
                </c:pt>
                <c:pt idx="5">
                  <c:v>173789.245</c:v>
                </c:pt>
                <c:pt idx="6">
                  <c:v>175967.633</c:v>
                </c:pt>
                <c:pt idx="7">
                  <c:v>174371.00599999999</c:v>
                </c:pt>
                <c:pt idx="8">
                  <c:v>173758.696</c:v>
                </c:pt>
                <c:pt idx="9">
                  <c:v>172204.348</c:v>
                </c:pt>
                <c:pt idx="10">
                  <c:v>175514.69399999999</c:v>
                </c:pt>
                <c:pt idx="11">
                  <c:v>183432.804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316-40D8-BB13-9E3CD454CBFC}"/>
            </c:ext>
          </c:extLst>
        </c:ser>
        <c:ser>
          <c:idx val="4"/>
          <c:order val="4"/>
          <c:tx>
            <c:strRef>
              <c:f>'Poraba po OE 2005-2016'!$A$6</c:f>
              <c:strCache>
                <c:ptCount val="1"/>
                <c:pt idx="0">
                  <c:v>OE Murska Sobota</c:v>
                </c:pt>
              </c:strCache>
            </c:strRef>
          </c:tx>
          <c:marker>
            <c:symbol val="none"/>
          </c:marker>
          <c:cat>
            <c:numRef>
              <c:f>'Poraba po OE 2005-2016'!$B$1:$M$1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'Poraba po OE 2005-2016'!$B$6:$M$6</c:f>
              <c:numCache>
                <c:formatCode>#,##0</c:formatCode>
                <c:ptCount val="12"/>
                <c:pt idx="0">
                  <c:v>271241.14199999999</c:v>
                </c:pt>
                <c:pt idx="1">
                  <c:v>306735.71600000001</c:v>
                </c:pt>
                <c:pt idx="2">
                  <c:v>313548.48100000003</c:v>
                </c:pt>
                <c:pt idx="3">
                  <c:v>328872.92099999997</c:v>
                </c:pt>
                <c:pt idx="4">
                  <c:v>317194.82199999999</c:v>
                </c:pt>
                <c:pt idx="5">
                  <c:v>323732.02500000002</c:v>
                </c:pt>
                <c:pt idx="6">
                  <c:v>333925.30699999997</c:v>
                </c:pt>
                <c:pt idx="7">
                  <c:v>334975.63799999998</c:v>
                </c:pt>
                <c:pt idx="8">
                  <c:v>338057.57400000002</c:v>
                </c:pt>
                <c:pt idx="9">
                  <c:v>335663.08799999999</c:v>
                </c:pt>
                <c:pt idx="10">
                  <c:v>339170.16100000002</c:v>
                </c:pt>
                <c:pt idx="11">
                  <c:v>348765.56800000003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316-40D8-BB13-9E3CD454CB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7297152"/>
        <c:axId val="77298688"/>
      </c:lineChart>
      <c:catAx>
        <c:axId val="7729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7298688"/>
        <c:crosses val="autoZero"/>
        <c:auto val="1"/>
        <c:lblAlgn val="ctr"/>
        <c:lblOffset val="100"/>
        <c:noMultiLvlLbl val="0"/>
      </c:catAx>
      <c:valAx>
        <c:axId val="77298688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772971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Prevzeta e</a:t>
            </a:r>
            <a:r>
              <a:rPr lang="sl-SI" sz="1400" b="1" i="0" baseline="0">
                <a:solidFill>
                  <a:sysClr val="windowText" lastClr="000000"/>
                </a:solidFill>
                <a:effectLst/>
              </a:rPr>
              <a:t>lektrična energija </a:t>
            </a: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na </a:t>
            </a:r>
            <a:r>
              <a:rPr lang="sl-SI" sz="1400" b="1" i="0" baseline="0">
                <a:solidFill>
                  <a:sysClr val="windowText" lastClr="000000"/>
                </a:solidFill>
                <a:effectLst/>
              </a:rPr>
              <a:t>merilno mesto po območnih enotah in v Elektru Maribor (MWh)</a:t>
            </a:r>
            <a:endParaRPr lang="sl-SI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'Skupna prevzeta ee po OE'!$C$10</c:f>
              <c:strCache>
                <c:ptCount val="1"/>
                <c:pt idx="0">
                  <c:v>Energija v MWh / merilno mesto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0E0-4B03-86E3-F589E7B677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'Skupna prevzeta ee po OE'!$A$11:$A$16</c:f>
              <c:strCache>
                <c:ptCount val="6"/>
                <c:pt idx="0">
                  <c:v>OE Maribor z okolico</c:v>
                </c:pt>
                <c:pt idx="1">
                  <c:v>OE Slovenska Bistrica</c:v>
                </c:pt>
                <c:pt idx="2">
                  <c:v>OE Ptuj</c:v>
                </c:pt>
                <c:pt idx="3">
                  <c:v>OE Gornja Radgona</c:v>
                </c:pt>
                <c:pt idx="4">
                  <c:v>OE Murska Sobota</c:v>
                </c:pt>
                <c:pt idx="5">
                  <c:v>ELEKTRO MARIBOR</c:v>
                </c:pt>
              </c:strCache>
            </c:strRef>
          </c:cat>
          <c:val>
            <c:numRef>
              <c:f>'Skupna prevzeta ee po OE'!$C$11:$C$16</c:f>
              <c:numCache>
                <c:formatCode>0.0</c:formatCode>
                <c:ptCount val="6"/>
                <c:pt idx="0">
                  <c:v>10.394993458735062</c:v>
                </c:pt>
                <c:pt idx="1">
                  <c:v>15.246869573165158</c:v>
                </c:pt>
                <c:pt idx="2">
                  <c:v>8.4766385640467767</c:v>
                </c:pt>
                <c:pt idx="3">
                  <c:v>11.104264414555312</c:v>
                </c:pt>
                <c:pt idx="4">
                  <c:v>9.5569263595579379</c:v>
                </c:pt>
                <c:pt idx="5">
                  <c:v>10.726416141142529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E0-4B03-86E3-F589E7B67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325056"/>
        <c:axId val="77326592"/>
      </c:barChart>
      <c:catAx>
        <c:axId val="7732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7326592"/>
        <c:crosses val="autoZero"/>
        <c:auto val="1"/>
        <c:lblAlgn val="ctr"/>
        <c:lblOffset val="100"/>
        <c:noMultiLvlLbl val="0"/>
      </c:catAx>
      <c:valAx>
        <c:axId val="7732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7325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sl-SI" sz="1200" b="1" i="0" baseline="0">
                <a:solidFill>
                  <a:sysClr val="windowText" lastClr="000000"/>
                </a:solidFill>
                <a:effectLst/>
              </a:rPr>
              <a:t>Konična obremenitev na območju OE Ptuj (</a:t>
            </a:r>
            <a:r>
              <a:rPr lang="en-US" sz="1200" b="1" i="0" baseline="0">
                <a:solidFill>
                  <a:sysClr val="windowText" lastClr="000000"/>
                </a:solidFill>
                <a:effectLst/>
              </a:rPr>
              <a:t>MW</a:t>
            </a:r>
            <a:r>
              <a:rPr lang="sl-SI" sz="1200" b="1" i="0" baseline="0">
                <a:solidFill>
                  <a:sysClr val="windowText" lastClr="000000"/>
                </a:solidFill>
                <a:effectLst/>
              </a:rPr>
              <a:t>)</a:t>
            </a:r>
            <a:endParaRPr lang="sl-SI" sz="12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'konična moč po OE'!$A$4</c:f>
              <c:strCache>
                <c:ptCount val="1"/>
                <c:pt idx="0">
                  <c:v>OE Ptuj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'konična moč po OE'!$B$1:$M$1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'konična moč po OE'!$B$4:$M$4</c:f>
              <c:numCache>
                <c:formatCode>0</c:formatCode>
                <c:ptCount val="12"/>
                <c:pt idx="0">
                  <c:v>50.302931372549018</c:v>
                </c:pt>
                <c:pt idx="1">
                  <c:v>53.152317647058823</c:v>
                </c:pt>
                <c:pt idx="2">
                  <c:v>51.573317647058815</c:v>
                </c:pt>
                <c:pt idx="3">
                  <c:v>52.0381</c:v>
                </c:pt>
                <c:pt idx="4">
                  <c:v>53.523528985507248</c:v>
                </c:pt>
                <c:pt idx="5">
                  <c:v>55.806308104127901</c:v>
                </c:pt>
                <c:pt idx="6">
                  <c:v>53.914999999999999</c:v>
                </c:pt>
                <c:pt idx="7">
                  <c:v>54.344000000000001</c:v>
                </c:pt>
                <c:pt idx="8">
                  <c:v>51.872999999999998</c:v>
                </c:pt>
                <c:pt idx="9">
                  <c:v>51.435199999999995</c:v>
                </c:pt>
                <c:pt idx="10">
                  <c:v>52</c:v>
                </c:pt>
                <c:pt idx="1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4E-4D95-98C0-5217B462E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026816"/>
        <c:axId val="79028608"/>
      </c:barChart>
      <c:catAx>
        <c:axId val="79026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9028608"/>
        <c:crosses val="autoZero"/>
        <c:auto val="1"/>
        <c:lblAlgn val="ctr"/>
        <c:lblOffset val="100"/>
        <c:noMultiLvlLbl val="0"/>
      </c:catAx>
      <c:valAx>
        <c:axId val="79028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902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A014-0748-41C6-BAEC-FB395EFA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Prešern Mitja</dc:creator>
  <cp:lastModifiedBy>Karin Zagomilšek Cizelj</cp:lastModifiedBy>
  <cp:revision>2</cp:revision>
  <cp:lastPrinted>2017-05-23T12:33:00Z</cp:lastPrinted>
  <dcterms:created xsi:type="dcterms:W3CDTF">2017-07-03T05:42:00Z</dcterms:created>
  <dcterms:modified xsi:type="dcterms:W3CDTF">2017-07-03T05:42:00Z</dcterms:modified>
</cp:coreProperties>
</file>